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790"/>
        <w:gridCol w:w="1647"/>
        <w:gridCol w:w="183"/>
        <w:gridCol w:w="4718"/>
      </w:tblGrid>
      <w:tr w:rsidR="003A0648" w:rsidRPr="008F5427" w14:paraId="1B16E4D5" w14:textId="77777777" w:rsidTr="008F5427">
        <w:tc>
          <w:tcPr>
            <w:tcW w:w="7518" w:type="dxa"/>
            <w:gridSpan w:val="4"/>
            <w:shd w:val="clear" w:color="auto" w:fill="auto"/>
          </w:tcPr>
          <w:p w14:paraId="124E59E3" w14:textId="77777777" w:rsidR="003A0648" w:rsidRPr="008F5427" w:rsidRDefault="003A0648" w:rsidP="008F5427">
            <w:pPr>
              <w:spacing w:before="60" w:after="60" w:line="280" w:lineRule="atLeast"/>
              <w:rPr>
                <w:rFonts w:ascii="Arial" w:hAnsi="Arial" w:cs="Arial"/>
                <w:i/>
                <w:sz w:val="30"/>
                <w:szCs w:val="30"/>
                <w:lang w:val="en-GB"/>
              </w:rPr>
            </w:pPr>
            <w:r w:rsidRPr="008F5427">
              <w:rPr>
                <w:rFonts w:ascii="Arial" w:hAnsi="Arial" w:cs="Arial"/>
                <w:i/>
                <w:sz w:val="30"/>
                <w:szCs w:val="30"/>
                <w:lang w:val="en-GB"/>
              </w:rPr>
              <w:t xml:space="preserve">Education awards supported by the </w:t>
            </w:r>
            <w:r w:rsidRPr="008F5427">
              <w:rPr>
                <w:rFonts w:ascii="Arial" w:hAnsi="Arial" w:cs="Arial"/>
                <w:i/>
                <w:sz w:val="30"/>
                <w:szCs w:val="30"/>
                <w:lang w:val="en-GB"/>
              </w:rPr>
              <w:br/>
              <w:t xml:space="preserve">Biological and Medicinal Chemistry Sector of </w:t>
            </w:r>
            <w:r w:rsidR="002E41AE" w:rsidRPr="008F5427">
              <w:rPr>
                <w:rFonts w:ascii="Arial" w:hAnsi="Arial" w:cs="Arial"/>
                <w:i/>
                <w:sz w:val="30"/>
                <w:szCs w:val="30"/>
                <w:lang w:val="en-GB"/>
              </w:rPr>
              <w:t xml:space="preserve">the </w:t>
            </w:r>
            <w:r w:rsidR="002E41AE" w:rsidRPr="008F5427">
              <w:rPr>
                <w:rFonts w:ascii="Arial" w:hAnsi="Arial" w:cs="Arial"/>
                <w:i/>
                <w:sz w:val="30"/>
                <w:szCs w:val="30"/>
                <w:lang w:val="en-GB"/>
              </w:rPr>
              <w:br/>
              <w:t>Royal Society of Chemistry</w:t>
            </w:r>
          </w:p>
          <w:p w14:paraId="62DB058F" w14:textId="77777777" w:rsidR="0035314C" w:rsidRPr="008F5427" w:rsidRDefault="0035314C" w:rsidP="008F5427">
            <w:pPr>
              <w:spacing w:before="60" w:after="60" w:line="280" w:lineRule="atLeast"/>
              <w:rPr>
                <w:rFonts w:ascii="Arial" w:hAnsi="Arial" w:cs="Arial"/>
                <w:b/>
                <w:sz w:val="28"/>
                <w:szCs w:val="28"/>
                <w:lang w:val="en-GB"/>
              </w:rPr>
            </w:pPr>
            <w:r w:rsidRPr="008F5427">
              <w:rPr>
                <w:rFonts w:ascii="Arial" w:hAnsi="Arial" w:cs="Arial"/>
                <w:b/>
                <w:sz w:val="28"/>
                <w:szCs w:val="28"/>
                <w:lang w:val="en-GB"/>
              </w:rPr>
              <w:t>Application for funding</w:t>
            </w:r>
          </w:p>
        </w:tc>
        <w:tc>
          <w:tcPr>
            <w:tcW w:w="2670" w:type="dxa"/>
            <w:shd w:val="clear" w:color="auto" w:fill="auto"/>
            <w:vAlign w:val="center"/>
          </w:tcPr>
          <w:p w14:paraId="077127F7" w14:textId="756EACAE" w:rsidR="003A0648" w:rsidRPr="008F5427" w:rsidRDefault="003F1A14" w:rsidP="008F5427">
            <w:pPr>
              <w:spacing w:before="60" w:after="60" w:line="280" w:lineRule="atLeast"/>
              <w:jc w:val="center"/>
              <w:rPr>
                <w:rFonts w:ascii="Arial" w:hAnsi="Arial" w:cs="Arial"/>
                <w:lang w:val="en-GB"/>
              </w:rPr>
            </w:pPr>
            <w:r>
              <w:rPr>
                <w:rFonts w:ascii="Arial" w:hAnsi="Arial" w:cs="Arial"/>
                <w:lang w:val="en-GB"/>
              </w:rPr>
              <w:pict w14:anchorId="2ECD9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pt;height:45pt">
                  <v:imagedata r:id="rId5" o:title="logo"/>
                </v:shape>
              </w:pict>
            </w:r>
          </w:p>
        </w:tc>
      </w:tr>
      <w:tr w:rsidR="003A0648" w:rsidRPr="008F5427" w14:paraId="7E3974D3" w14:textId="77777777" w:rsidTr="008F5427">
        <w:tc>
          <w:tcPr>
            <w:tcW w:w="2274" w:type="dxa"/>
            <w:shd w:val="clear" w:color="auto" w:fill="E6E6E6"/>
            <w:vAlign w:val="center"/>
          </w:tcPr>
          <w:p w14:paraId="58557866" w14:textId="77777777" w:rsidR="003A0648" w:rsidRPr="008F5427" w:rsidRDefault="003A0648" w:rsidP="008F5427">
            <w:pPr>
              <w:spacing w:before="60" w:after="60" w:line="280" w:lineRule="atLeast"/>
              <w:rPr>
                <w:rFonts w:ascii="Arial" w:hAnsi="Arial" w:cs="Arial"/>
                <w:b/>
                <w:lang w:val="en-GB"/>
              </w:rPr>
            </w:pPr>
            <w:r w:rsidRPr="008F5427">
              <w:rPr>
                <w:rFonts w:ascii="Arial" w:hAnsi="Arial" w:cs="Arial"/>
                <w:b/>
                <w:lang w:val="en-GB"/>
              </w:rPr>
              <w:t>Funding stream</w:t>
            </w:r>
            <w:r w:rsidR="00AD34DE" w:rsidRPr="008F5427">
              <w:rPr>
                <w:rFonts w:ascii="Arial" w:hAnsi="Arial" w:cs="Arial"/>
                <w:b/>
                <w:lang w:val="en-GB"/>
              </w:rPr>
              <w:t xml:space="preserve"> *</w:t>
            </w:r>
          </w:p>
          <w:p w14:paraId="61F8C3A9" w14:textId="77777777" w:rsidR="003A0648" w:rsidRPr="008F5427" w:rsidRDefault="003A0648" w:rsidP="008F5427">
            <w:pPr>
              <w:spacing w:before="60" w:after="60" w:line="280" w:lineRule="atLeast"/>
              <w:rPr>
                <w:rFonts w:ascii="Arial" w:hAnsi="Arial" w:cs="Arial"/>
                <w:b/>
                <w:sz w:val="16"/>
                <w:szCs w:val="16"/>
                <w:lang w:val="en-GB"/>
              </w:rPr>
            </w:pPr>
            <w:r w:rsidRPr="008F5427">
              <w:rPr>
                <w:rFonts w:ascii="Arial" w:hAnsi="Arial" w:cs="Arial"/>
                <w:b/>
                <w:sz w:val="16"/>
                <w:szCs w:val="16"/>
                <w:lang w:val="en-GB"/>
              </w:rPr>
              <w:t>Please tick one only</w:t>
            </w:r>
          </w:p>
        </w:tc>
        <w:tc>
          <w:tcPr>
            <w:tcW w:w="7914" w:type="dxa"/>
            <w:gridSpan w:val="4"/>
            <w:shd w:val="clear" w:color="auto" w:fill="E6E6E6"/>
            <w:vAlign w:val="center"/>
          </w:tcPr>
          <w:p w14:paraId="1F7705BC" w14:textId="77777777" w:rsidR="003A0648" w:rsidRPr="008F5427" w:rsidRDefault="003A0648" w:rsidP="008F5427">
            <w:pPr>
              <w:spacing w:before="60" w:after="60" w:line="280" w:lineRule="atLeast"/>
              <w:rPr>
                <w:rFonts w:ascii="Arial" w:hAnsi="Arial" w:cs="Arial"/>
                <w:lang w:val="en-GB"/>
              </w:rPr>
            </w:pPr>
            <w:r w:rsidRPr="008F5427">
              <w:rPr>
                <w:rFonts w:ascii="Arial" w:hAnsi="Arial" w:cs="Arial"/>
                <w:lang w:val="en-GB"/>
              </w:rPr>
              <w:t>Chemistry club</w:t>
            </w:r>
            <w:r w:rsidRPr="008F5427">
              <w:rPr>
                <w:rFonts w:ascii="Arial" w:hAnsi="Arial" w:cs="Arial"/>
                <w:lang w:val="en-GB"/>
              </w:rPr>
              <w:tab/>
            </w:r>
            <w:r w:rsidRPr="008F5427">
              <w:rPr>
                <w:rFonts w:ascii="Arial" w:hAnsi="Arial" w:cs="Arial"/>
                <w:lang w:val="en-GB"/>
              </w:rPr>
              <w:tab/>
            </w:r>
            <w:r w:rsidRPr="008F5427">
              <w:rPr>
                <w:rFonts w:ascii="Arial" w:hAnsi="Arial" w:cs="Arial"/>
                <w:lang w:val="en-GB"/>
              </w:rPr>
              <w:sym w:font="Wingdings 2" w:char="F0A3"/>
            </w:r>
            <w:r w:rsidRPr="008F5427">
              <w:rPr>
                <w:rFonts w:ascii="Arial" w:hAnsi="Arial" w:cs="Arial"/>
                <w:lang w:val="en-GB"/>
              </w:rPr>
              <w:tab/>
            </w:r>
            <w:r w:rsidRPr="008F5427">
              <w:rPr>
                <w:rFonts w:ascii="Arial" w:hAnsi="Arial" w:cs="Arial"/>
                <w:lang w:val="en-GB"/>
              </w:rPr>
              <w:tab/>
              <w:t>Local section</w:t>
            </w:r>
            <w:r w:rsidRPr="008F5427">
              <w:rPr>
                <w:rFonts w:ascii="Arial" w:hAnsi="Arial" w:cs="Arial"/>
                <w:lang w:val="en-GB"/>
              </w:rPr>
              <w:tab/>
            </w:r>
            <w:r w:rsidRPr="008F5427">
              <w:rPr>
                <w:rFonts w:ascii="Arial" w:hAnsi="Arial" w:cs="Arial"/>
                <w:lang w:val="en-GB"/>
              </w:rPr>
              <w:tab/>
            </w:r>
            <w:r w:rsidRPr="008F5427">
              <w:rPr>
                <w:rFonts w:ascii="Arial" w:hAnsi="Arial" w:cs="Arial"/>
                <w:lang w:val="en-GB"/>
              </w:rPr>
              <w:sym w:font="Wingdings 2" w:char="F0A3"/>
            </w:r>
          </w:p>
          <w:p w14:paraId="3423C0E2" w14:textId="77777777" w:rsidR="003A0648" w:rsidRPr="008F5427" w:rsidRDefault="003A0648" w:rsidP="008F5427">
            <w:pPr>
              <w:spacing w:before="60" w:after="60" w:line="280" w:lineRule="atLeast"/>
              <w:rPr>
                <w:rFonts w:ascii="Arial" w:hAnsi="Arial" w:cs="Arial"/>
                <w:lang w:val="en-GB"/>
              </w:rPr>
            </w:pPr>
            <w:r w:rsidRPr="008F5427">
              <w:rPr>
                <w:rFonts w:ascii="Arial" w:hAnsi="Arial" w:cs="Arial"/>
                <w:lang w:val="en-GB"/>
              </w:rPr>
              <w:t>Enhanced equipment</w:t>
            </w:r>
            <w:r w:rsidRPr="008F5427">
              <w:rPr>
                <w:rFonts w:ascii="Arial" w:hAnsi="Arial" w:cs="Arial"/>
                <w:lang w:val="en-GB"/>
              </w:rPr>
              <w:tab/>
            </w:r>
            <w:r w:rsidRPr="008F5427">
              <w:rPr>
                <w:rFonts w:ascii="Arial" w:hAnsi="Arial" w:cs="Arial"/>
                <w:lang w:val="en-GB"/>
              </w:rPr>
              <w:sym w:font="Wingdings 2" w:char="F0A3"/>
            </w:r>
            <w:r w:rsidRPr="008F5427">
              <w:rPr>
                <w:rFonts w:ascii="Arial" w:hAnsi="Arial" w:cs="Arial"/>
                <w:lang w:val="en-GB"/>
              </w:rPr>
              <w:tab/>
            </w:r>
            <w:r w:rsidRPr="008F5427">
              <w:rPr>
                <w:rFonts w:ascii="Arial" w:hAnsi="Arial" w:cs="Arial"/>
                <w:lang w:val="en-GB"/>
              </w:rPr>
              <w:tab/>
            </w:r>
            <w:r w:rsidR="00950934" w:rsidRPr="008F5427">
              <w:rPr>
                <w:rFonts w:ascii="Arial" w:hAnsi="Arial" w:cs="Arial"/>
                <w:lang w:val="en-GB"/>
              </w:rPr>
              <w:t>ChemSoc</w:t>
            </w:r>
            <w:r w:rsidR="00950934" w:rsidRPr="008F5427">
              <w:rPr>
                <w:rFonts w:ascii="Arial" w:hAnsi="Arial" w:cs="Arial"/>
                <w:lang w:val="en-GB"/>
              </w:rPr>
              <w:tab/>
            </w:r>
            <w:r w:rsidR="00950934" w:rsidRPr="008F5427">
              <w:rPr>
                <w:rFonts w:ascii="Arial" w:hAnsi="Arial" w:cs="Arial"/>
                <w:lang w:val="en-GB"/>
              </w:rPr>
              <w:tab/>
            </w:r>
            <w:r w:rsidR="00950934" w:rsidRPr="008F5427">
              <w:rPr>
                <w:rFonts w:ascii="Arial" w:hAnsi="Arial" w:cs="Arial"/>
                <w:lang w:val="en-GB"/>
              </w:rPr>
              <w:sym w:font="Wingdings 2" w:char="F0A3"/>
            </w:r>
          </w:p>
          <w:p w14:paraId="5AAB71CC" w14:textId="77777777" w:rsidR="002E41AE" w:rsidRPr="008F5427" w:rsidRDefault="002E41AE" w:rsidP="008F5427">
            <w:pPr>
              <w:spacing w:before="60" w:after="60" w:line="280" w:lineRule="atLeast"/>
              <w:rPr>
                <w:rFonts w:ascii="Arial" w:hAnsi="Arial" w:cs="Arial"/>
                <w:lang w:val="en-GB"/>
              </w:rPr>
            </w:pPr>
            <w:r w:rsidRPr="008F5427">
              <w:rPr>
                <w:rFonts w:ascii="Arial" w:hAnsi="Arial" w:cs="Arial"/>
                <w:lang w:val="en-GB"/>
              </w:rPr>
              <w:t>Partnership of 3</w:t>
            </w:r>
            <w:r w:rsidRPr="008F5427">
              <w:rPr>
                <w:rFonts w:ascii="Arial" w:hAnsi="Arial" w:cs="Arial"/>
                <w:lang w:val="en-GB"/>
              </w:rPr>
              <w:tab/>
            </w:r>
            <w:r w:rsidRPr="008F5427">
              <w:rPr>
                <w:rFonts w:ascii="Arial" w:hAnsi="Arial" w:cs="Arial"/>
                <w:lang w:val="en-GB"/>
              </w:rPr>
              <w:tab/>
            </w:r>
            <w:r w:rsidRPr="008F5427">
              <w:rPr>
                <w:rFonts w:ascii="Arial" w:hAnsi="Arial" w:cs="Arial"/>
                <w:lang w:val="en-GB"/>
              </w:rPr>
              <w:sym w:font="Wingdings 2" w:char="F0A3"/>
            </w:r>
          </w:p>
        </w:tc>
      </w:tr>
      <w:tr w:rsidR="00D53835" w:rsidRPr="008F5427" w14:paraId="446C270D" w14:textId="77777777" w:rsidTr="008F5427">
        <w:tc>
          <w:tcPr>
            <w:tcW w:w="2274" w:type="dxa"/>
            <w:shd w:val="clear" w:color="auto" w:fill="auto"/>
            <w:vAlign w:val="center"/>
          </w:tcPr>
          <w:p w14:paraId="7D43BB0F" w14:textId="77777777" w:rsidR="00D53835" w:rsidRPr="008F5427" w:rsidRDefault="00D53835" w:rsidP="008F5427">
            <w:pPr>
              <w:spacing w:before="60" w:after="60" w:line="280" w:lineRule="atLeast"/>
              <w:rPr>
                <w:rFonts w:ascii="Arial" w:hAnsi="Arial" w:cs="Arial"/>
                <w:b/>
                <w:lang w:val="en-GB"/>
              </w:rPr>
            </w:pPr>
            <w:r w:rsidRPr="008F5427">
              <w:rPr>
                <w:rFonts w:ascii="Arial" w:hAnsi="Arial" w:cs="Arial"/>
                <w:b/>
                <w:lang w:val="en-GB"/>
              </w:rPr>
              <w:t>Name</w:t>
            </w:r>
          </w:p>
        </w:tc>
        <w:tc>
          <w:tcPr>
            <w:tcW w:w="3192" w:type="dxa"/>
            <w:shd w:val="clear" w:color="auto" w:fill="auto"/>
            <w:vAlign w:val="center"/>
          </w:tcPr>
          <w:p w14:paraId="2A6C2AC2" w14:textId="77777777" w:rsidR="00D53835" w:rsidRPr="008F5427" w:rsidRDefault="00D53835" w:rsidP="008F5427">
            <w:pPr>
              <w:spacing w:before="60" w:after="60" w:line="280" w:lineRule="atLeast"/>
              <w:rPr>
                <w:rFonts w:ascii="Arial" w:hAnsi="Arial" w:cs="Arial"/>
                <w:lang w:val="en-GB"/>
              </w:rPr>
            </w:pPr>
          </w:p>
          <w:p w14:paraId="12B11525" w14:textId="77777777" w:rsidR="002E41AE" w:rsidRPr="008F5427" w:rsidRDefault="002E41AE" w:rsidP="008F5427">
            <w:pPr>
              <w:spacing w:before="60" w:after="60" w:line="280" w:lineRule="atLeast"/>
              <w:rPr>
                <w:rFonts w:ascii="Arial" w:hAnsi="Arial" w:cs="Arial"/>
                <w:lang w:val="en-GB"/>
              </w:rPr>
            </w:pPr>
          </w:p>
        </w:tc>
        <w:tc>
          <w:tcPr>
            <w:tcW w:w="1710" w:type="dxa"/>
            <w:shd w:val="clear" w:color="auto" w:fill="auto"/>
            <w:vAlign w:val="center"/>
          </w:tcPr>
          <w:p w14:paraId="2E84D68D" w14:textId="77777777" w:rsidR="00D53835" w:rsidRPr="008F5427" w:rsidRDefault="00D53835" w:rsidP="008F5427">
            <w:pPr>
              <w:spacing w:before="60" w:after="60" w:line="280" w:lineRule="atLeast"/>
              <w:rPr>
                <w:rFonts w:ascii="Arial" w:hAnsi="Arial" w:cs="Arial"/>
                <w:b/>
                <w:lang w:val="en-GB"/>
              </w:rPr>
            </w:pPr>
            <w:r w:rsidRPr="008F5427">
              <w:rPr>
                <w:rFonts w:ascii="Arial" w:hAnsi="Arial" w:cs="Arial"/>
                <w:b/>
                <w:lang w:val="en-GB"/>
              </w:rPr>
              <w:t>Submission date</w:t>
            </w:r>
          </w:p>
        </w:tc>
        <w:tc>
          <w:tcPr>
            <w:tcW w:w="3012" w:type="dxa"/>
            <w:gridSpan w:val="2"/>
            <w:shd w:val="clear" w:color="auto" w:fill="auto"/>
            <w:vAlign w:val="center"/>
          </w:tcPr>
          <w:p w14:paraId="3927BC36" w14:textId="77777777" w:rsidR="00D53835" w:rsidRPr="008F5427" w:rsidRDefault="00D53835" w:rsidP="008F5427">
            <w:pPr>
              <w:spacing w:before="60" w:after="60" w:line="280" w:lineRule="atLeast"/>
              <w:rPr>
                <w:rFonts w:ascii="Arial" w:hAnsi="Arial" w:cs="Arial"/>
                <w:lang w:val="en-GB"/>
              </w:rPr>
            </w:pPr>
          </w:p>
        </w:tc>
      </w:tr>
      <w:tr w:rsidR="004C5EA7" w:rsidRPr="008F5427" w14:paraId="34E0AA7D" w14:textId="77777777" w:rsidTr="008F5427">
        <w:tc>
          <w:tcPr>
            <w:tcW w:w="2274" w:type="dxa"/>
            <w:shd w:val="clear" w:color="auto" w:fill="auto"/>
            <w:vAlign w:val="center"/>
          </w:tcPr>
          <w:p w14:paraId="042309D9" w14:textId="77777777" w:rsidR="004C5EA7" w:rsidRPr="008F5427" w:rsidRDefault="004C5EA7" w:rsidP="008F5427">
            <w:pPr>
              <w:spacing w:before="60" w:after="60" w:line="280" w:lineRule="atLeast"/>
              <w:rPr>
                <w:rFonts w:ascii="Arial" w:hAnsi="Arial" w:cs="Arial"/>
                <w:b/>
                <w:lang w:val="en-GB"/>
              </w:rPr>
            </w:pPr>
            <w:r w:rsidRPr="008F5427">
              <w:rPr>
                <w:rFonts w:ascii="Arial" w:hAnsi="Arial" w:cs="Arial"/>
                <w:b/>
                <w:lang w:val="en-GB"/>
              </w:rPr>
              <w:t>School/ College/ University name and address (inc</w:t>
            </w:r>
            <w:r w:rsidR="00A671AD" w:rsidRPr="008F5427">
              <w:rPr>
                <w:rFonts w:ascii="Arial" w:hAnsi="Arial" w:cs="Arial"/>
                <w:b/>
                <w:lang w:val="en-GB"/>
              </w:rPr>
              <w:t>.</w:t>
            </w:r>
            <w:r w:rsidRPr="008F5427">
              <w:rPr>
                <w:rFonts w:ascii="Arial" w:hAnsi="Arial" w:cs="Arial"/>
                <w:b/>
                <w:lang w:val="en-GB"/>
              </w:rPr>
              <w:t xml:space="preserve"> postcode</w:t>
            </w:r>
            <w:r w:rsidR="00A671AD" w:rsidRPr="008F5427">
              <w:rPr>
                <w:rFonts w:ascii="Arial" w:hAnsi="Arial" w:cs="Arial"/>
                <w:b/>
                <w:lang w:val="en-GB"/>
              </w:rPr>
              <w:t>)</w:t>
            </w:r>
          </w:p>
        </w:tc>
        <w:tc>
          <w:tcPr>
            <w:tcW w:w="7914" w:type="dxa"/>
            <w:gridSpan w:val="4"/>
            <w:shd w:val="clear" w:color="auto" w:fill="auto"/>
            <w:vAlign w:val="center"/>
          </w:tcPr>
          <w:p w14:paraId="4F3D816E" w14:textId="77777777" w:rsidR="004C5EA7" w:rsidRPr="008F5427" w:rsidRDefault="004C5EA7" w:rsidP="008F5427">
            <w:pPr>
              <w:spacing w:before="60" w:after="60" w:line="280" w:lineRule="atLeast"/>
              <w:rPr>
                <w:rFonts w:ascii="Arial" w:hAnsi="Arial" w:cs="Arial"/>
                <w:lang w:val="en-GB"/>
              </w:rPr>
            </w:pPr>
          </w:p>
          <w:p w14:paraId="059B2A43" w14:textId="77777777" w:rsidR="002E41AE" w:rsidRPr="008F5427" w:rsidRDefault="002E41AE" w:rsidP="008F5427">
            <w:pPr>
              <w:spacing w:before="60" w:after="60" w:line="280" w:lineRule="atLeast"/>
              <w:rPr>
                <w:rFonts w:ascii="Arial" w:hAnsi="Arial" w:cs="Arial"/>
                <w:lang w:val="en-GB"/>
              </w:rPr>
            </w:pPr>
          </w:p>
          <w:p w14:paraId="2CB102E4" w14:textId="77777777" w:rsidR="002E41AE" w:rsidRPr="008F5427" w:rsidRDefault="002E41AE" w:rsidP="008F5427">
            <w:pPr>
              <w:spacing w:before="60" w:after="60" w:line="280" w:lineRule="atLeast"/>
              <w:rPr>
                <w:rFonts w:ascii="Arial" w:hAnsi="Arial" w:cs="Arial"/>
                <w:lang w:val="en-GB"/>
              </w:rPr>
            </w:pPr>
          </w:p>
          <w:p w14:paraId="1DC8A14C" w14:textId="77777777" w:rsidR="002E41AE" w:rsidRPr="008F5427" w:rsidRDefault="002E41AE" w:rsidP="008F5427">
            <w:pPr>
              <w:spacing w:before="60" w:after="60" w:line="280" w:lineRule="atLeast"/>
              <w:rPr>
                <w:rFonts w:ascii="Arial" w:hAnsi="Arial" w:cs="Arial"/>
                <w:lang w:val="en-GB"/>
              </w:rPr>
            </w:pPr>
          </w:p>
        </w:tc>
      </w:tr>
      <w:tr w:rsidR="002E41AE" w:rsidRPr="008F5427" w14:paraId="02DD99FE" w14:textId="77777777" w:rsidTr="008F5427">
        <w:tc>
          <w:tcPr>
            <w:tcW w:w="2274" w:type="dxa"/>
            <w:shd w:val="clear" w:color="auto" w:fill="auto"/>
            <w:vAlign w:val="center"/>
          </w:tcPr>
          <w:p w14:paraId="29F95AFF" w14:textId="77777777" w:rsidR="002E41AE" w:rsidRPr="008F5427" w:rsidRDefault="002E41AE" w:rsidP="008F5427">
            <w:pPr>
              <w:spacing w:before="60" w:after="60" w:line="280" w:lineRule="atLeast"/>
              <w:rPr>
                <w:rFonts w:ascii="Arial" w:hAnsi="Arial" w:cs="Arial"/>
                <w:b/>
                <w:lang w:val="en-GB"/>
              </w:rPr>
            </w:pPr>
            <w:r w:rsidRPr="008F5427">
              <w:rPr>
                <w:rFonts w:ascii="Arial" w:hAnsi="Arial" w:cs="Arial"/>
                <w:b/>
                <w:lang w:val="en-GB"/>
              </w:rPr>
              <w:t xml:space="preserve">Phone </w:t>
            </w:r>
          </w:p>
        </w:tc>
        <w:tc>
          <w:tcPr>
            <w:tcW w:w="7914" w:type="dxa"/>
            <w:gridSpan w:val="4"/>
            <w:shd w:val="clear" w:color="auto" w:fill="auto"/>
            <w:vAlign w:val="center"/>
          </w:tcPr>
          <w:p w14:paraId="5E24BD74" w14:textId="77777777" w:rsidR="002E41AE" w:rsidRPr="008F5427" w:rsidRDefault="002E41AE" w:rsidP="008F5427">
            <w:pPr>
              <w:spacing w:before="60" w:after="60" w:line="280" w:lineRule="atLeast"/>
              <w:rPr>
                <w:rFonts w:ascii="Arial" w:hAnsi="Arial" w:cs="Arial"/>
                <w:lang w:val="en-GB"/>
              </w:rPr>
            </w:pPr>
          </w:p>
          <w:p w14:paraId="4284FCA8" w14:textId="77777777" w:rsidR="002E41AE" w:rsidRPr="008F5427" w:rsidRDefault="002E41AE" w:rsidP="008F5427">
            <w:pPr>
              <w:spacing w:before="60" w:after="60" w:line="280" w:lineRule="atLeast"/>
              <w:rPr>
                <w:rFonts w:ascii="Arial" w:hAnsi="Arial" w:cs="Arial"/>
                <w:lang w:val="en-GB"/>
              </w:rPr>
            </w:pPr>
          </w:p>
        </w:tc>
      </w:tr>
      <w:tr w:rsidR="002E41AE" w:rsidRPr="008F5427" w14:paraId="49D2F820" w14:textId="77777777" w:rsidTr="008F5427">
        <w:tc>
          <w:tcPr>
            <w:tcW w:w="2274" w:type="dxa"/>
            <w:tcBorders>
              <w:bottom w:val="single" w:sz="4" w:space="0" w:color="auto"/>
            </w:tcBorders>
            <w:shd w:val="clear" w:color="auto" w:fill="auto"/>
            <w:vAlign w:val="center"/>
          </w:tcPr>
          <w:p w14:paraId="0A695A67" w14:textId="77777777" w:rsidR="002E41AE" w:rsidRPr="008F5427" w:rsidRDefault="002E41AE" w:rsidP="008F5427">
            <w:pPr>
              <w:spacing w:before="60" w:after="60" w:line="280" w:lineRule="atLeast"/>
              <w:rPr>
                <w:rFonts w:ascii="Arial" w:hAnsi="Arial" w:cs="Arial"/>
                <w:b/>
                <w:lang w:val="en-GB"/>
              </w:rPr>
            </w:pPr>
            <w:r w:rsidRPr="008F5427">
              <w:rPr>
                <w:rFonts w:ascii="Arial" w:hAnsi="Arial" w:cs="Arial"/>
                <w:b/>
                <w:lang w:val="en-GB"/>
              </w:rPr>
              <w:t>email</w:t>
            </w:r>
          </w:p>
        </w:tc>
        <w:tc>
          <w:tcPr>
            <w:tcW w:w="7914" w:type="dxa"/>
            <w:gridSpan w:val="4"/>
            <w:tcBorders>
              <w:bottom w:val="single" w:sz="4" w:space="0" w:color="auto"/>
            </w:tcBorders>
            <w:shd w:val="clear" w:color="auto" w:fill="auto"/>
            <w:vAlign w:val="center"/>
          </w:tcPr>
          <w:p w14:paraId="06BDCC95" w14:textId="77777777" w:rsidR="002E41AE" w:rsidRPr="008F5427" w:rsidRDefault="002E41AE" w:rsidP="008F5427">
            <w:pPr>
              <w:spacing w:before="60" w:after="60" w:line="280" w:lineRule="atLeast"/>
              <w:rPr>
                <w:rFonts w:ascii="Arial" w:hAnsi="Arial" w:cs="Arial"/>
                <w:lang w:val="en-GB"/>
              </w:rPr>
            </w:pPr>
          </w:p>
          <w:p w14:paraId="3A5E2C36" w14:textId="77777777" w:rsidR="002E41AE" w:rsidRPr="008F5427" w:rsidRDefault="002E41AE" w:rsidP="008F5427">
            <w:pPr>
              <w:spacing w:before="60" w:after="60" w:line="280" w:lineRule="atLeast"/>
              <w:rPr>
                <w:rFonts w:ascii="Arial" w:hAnsi="Arial" w:cs="Arial"/>
                <w:lang w:val="en-GB"/>
              </w:rPr>
            </w:pPr>
          </w:p>
        </w:tc>
      </w:tr>
      <w:tr w:rsidR="00A671AD" w:rsidRPr="008F5427" w14:paraId="17982EFE" w14:textId="77777777" w:rsidTr="008F5427">
        <w:tc>
          <w:tcPr>
            <w:tcW w:w="2274" w:type="dxa"/>
            <w:tcBorders>
              <w:bottom w:val="single" w:sz="4" w:space="0" w:color="auto"/>
            </w:tcBorders>
            <w:shd w:val="clear" w:color="auto" w:fill="auto"/>
            <w:vAlign w:val="center"/>
          </w:tcPr>
          <w:p w14:paraId="3D85B4C6" w14:textId="77777777" w:rsidR="00A671AD" w:rsidRPr="008F5427" w:rsidRDefault="00A671AD" w:rsidP="008F5427">
            <w:pPr>
              <w:spacing w:before="60" w:after="60" w:line="280" w:lineRule="atLeast"/>
              <w:rPr>
                <w:rFonts w:ascii="Arial" w:hAnsi="Arial" w:cs="Arial"/>
                <w:b/>
                <w:lang w:val="en-GB"/>
              </w:rPr>
            </w:pPr>
            <w:r w:rsidRPr="008F5427">
              <w:rPr>
                <w:rFonts w:ascii="Arial" w:hAnsi="Arial" w:cs="Arial"/>
                <w:b/>
                <w:lang w:val="en-GB"/>
              </w:rPr>
              <w:t>Institution website</w:t>
            </w:r>
          </w:p>
        </w:tc>
        <w:tc>
          <w:tcPr>
            <w:tcW w:w="7914" w:type="dxa"/>
            <w:gridSpan w:val="4"/>
            <w:tcBorders>
              <w:bottom w:val="single" w:sz="4" w:space="0" w:color="auto"/>
            </w:tcBorders>
            <w:shd w:val="clear" w:color="auto" w:fill="auto"/>
            <w:vAlign w:val="center"/>
          </w:tcPr>
          <w:p w14:paraId="4D74DEE7" w14:textId="77777777" w:rsidR="00A671AD" w:rsidRPr="008F5427" w:rsidRDefault="00A671AD" w:rsidP="008F5427">
            <w:pPr>
              <w:spacing w:before="60" w:after="60" w:line="280" w:lineRule="atLeast"/>
              <w:rPr>
                <w:rFonts w:ascii="Arial" w:hAnsi="Arial" w:cs="Arial"/>
                <w:lang w:val="en-GB"/>
              </w:rPr>
            </w:pPr>
          </w:p>
        </w:tc>
      </w:tr>
      <w:tr w:rsidR="002E41AE" w:rsidRPr="008F5427" w14:paraId="38DB6F07" w14:textId="77777777" w:rsidTr="008F5427">
        <w:tc>
          <w:tcPr>
            <w:tcW w:w="2274" w:type="dxa"/>
            <w:tcBorders>
              <w:bottom w:val="single" w:sz="4" w:space="0" w:color="auto"/>
            </w:tcBorders>
            <w:shd w:val="clear" w:color="auto" w:fill="auto"/>
            <w:vAlign w:val="center"/>
          </w:tcPr>
          <w:p w14:paraId="444F8F67" w14:textId="77777777" w:rsidR="002E41AE" w:rsidRPr="008F5427" w:rsidRDefault="00157111" w:rsidP="008F5427">
            <w:pPr>
              <w:spacing w:before="60" w:after="60" w:line="280" w:lineRule="atLeast"/>
              <w:rPr>
                <w:rFonts w:ascii="Arial" w:hAnsi="Arial" w:cs="Arial"/>
                <w:b/>
                <w:lang w:val="en-GB"/>
              </w:rPr>
            </w:pPr>
            <w:r w:rsidRPr="008F5427">
              <w:rPr>
                <w:rFonts w:ascii="Arial" w:hAnsi="Arial" w:cs="Arial"/>
                <w:b/>
                <w:lang w:val="en-GB"/>
              </w:rPr>
              <w:t>Funding requested (£s)</w:t>
            </w:r>
          </w:p>
        </w:tc>
        <w:tc>
          <w:tcPr>
            <w:tcW w:w="7914" w:type="dxa"/>
            <w:gridSpan w:val="4"/>
            <w:tcBorders>
              <w:bottom w:val="single" w:sz="4" w:space="0" w:color="auto"/>
            </w:tcBorders>
            <w:shd w:val="clear" w:color="auto" w:fill="auto"/>
            <w:vAlign w:val="center"/>
          </w:tcPr>
          <w:p w14:paraId="3B3D470C" w14:textId="77777777" w:rsidR="002E41AE" w:rsidRPr="008F5427" w:rsidRDefault="002E41AE" w:rsidP="008F5427">
            <w:pPr>
              <w:spacing w:before="60" w:after="60" w:line="280" w:lineRule="atLeast"/>
              <w:rPr>
                <w:rFonts w:ascii="Arial" w:hAnsi="Arial" w:cs="Arial"/>
                <w:lang w:val="en-GB"/>
              </w:rPr>
            </w:pPr>
          </w:p>
        </w:tc>
      </w:tr>
      <w:tr w:rsidR="0035314C" w:rsidRPr="008F5427" w14:paraId="72C61616" w14:textId="77777777" w:rsidTr="008F5427">
        <w:tc>
          <w:tcPr>
            <w:tcW w:w="10188" w:type="dxa"/>
            <w:gridSpan w:val="5"/>
            <w:shd w:val="clear" w:color="auto" w:fill="E6E6E6"/>
            <w:vAlign w:val="center"/>
          </w:tcPr>
          <w:p w14:paraId="553F26F3" w14:textId="77777777" w:rsidR="0035314C" w:rsidRPr="008F5427" w:rsidRDefault="0035314C" w:rsidP="008F5427">
            <w:pPr>
              <w:spacing w:before="60" w:after="60" w:line="280" w:lineRule="atLeast"/>
              <w:rPr>
                <w:rFonts w:ascii="Arial" w:hAnsi="Arial" w:cs="Arial"/>
                <w:lang w:val="en-GB"/>
              </w:rPr>
            </w:pPr>
          </w:p>
        </w:tc>
      </w:tr>
      <w:tr w:rsidR="00A671AD" w:rsidRPr="008F5427" w14:paraId="1DAED8B6" w14:textId="77777777" w:rsidTr="008F5427">
        <w:tc>
          <w:tcPr>
            <w:tcW w:w="10188" w:type="dxa"/>
            <w:gridSpan w:val="5"/>
            <w:shd w:val="clear" w:color="auto" w:fill="auto"/>
            <w:vAlign w:val="center"/>
          </w:tcPr>
          <w:p w14:paraId="344A33B8" w14:textId="77777777" w:rsidR="00A671AD" w:rsidRPr="008F5427" w:rsidRDefault="00157111" w:rsidP="008F5427">
            <w:pPr>
              <w:spacing w:before="60" w:after="60" w:line="280" w:lineRule="atLeast"/>
              <w:rPr>
                <w:rFonts w:ascii="Arial" w:hAnsi="Arial" w:cs="Arial"/>
                <w:b/>
                <w:lang w:val="en-GB"/>
              </w:rPr>
            </w:pPr>
            <w:r w:rsidRPr="008F5427">
              <w:rPr>
                <w:rFonts w:ascii="Arial" w:hAnsi="Arial" w:cs="Arial"/>
                <w:b/>
                <w:lang w:val="en-GB"/>
              </w:rPr>
              <w:t>Breakdown of funding requested into key elements</w:t>
            </w:r>
            <w:r w:rsidR="003E5144" w:rsidRPr="008F5427">
              <w:rPr>
                <w:rFonts w:ascii="Arial" w:hAnsi="Arial" w:cs="Arial"/>
                <w:b/>
                <w:lang w:val="en-GB"/>
              </w:rPr>
              <w:t xml:space="preserve"> (item/ function and approx. cost).</w:t>
            </w:r>
          </w:p>
        </w:tc>
      </w:tr>
      <w:tr w:rsidR="00A671AD" w:rsidRPr="008F5427" w14:paraId="1B5282B3" w14:textId="77777777" w:rsidTr="008F5427">
        <w:tc>
          <w:tcPr>
            <w:tcW w:w="10188" w:type="dxa"/>
            <w:gridSpan w:val="5"/>
            <w:shd w:val="clear" w:color="auto" w:fill="auto"/>
            <w:vAlign w:val="center"/>
          </w:tcPr>
          <w:p w14:paraId="57BC80CD" w14:textId="77777777" w:rsidR="00A671AD" w:rsidRPr="008F5427" w:rsidRDefault="00A671AD" w:rsidP="008F5427">
            <w:pPr>
              <w:spacing w:before="60" w:after="60" w:line="280" w:lineRule="atLeast"/>
              <w:rPr>
                <w:rFonts w:ascii="Arial" w:hAnsi="Arial" w:cs="Arial"/>
                <w:lang w:val="en-GB"/>
              </w:rPr>
            </w:pPr>
          </w:p>
          <w:p w14:paraId="75A62BA2" w14:textId="77777777" w:rsidR="0035314C" w:rsidRPr="008F5427" w:rsidRDefault="0035314C" w:rsidP="008F5427">
            <w:pPr>
              <w:spacing w:before="60" w:after="60" w:line="280" w:lineRule="atLeast"/>
              <w:rPr>
                <w:rFonts w:ascii="Arial" w:hAnsi="Arial" w:cs="Arial"/>
                <w:lang w:val="en-GB"/>
              </w:rPr>
            </w:pPr>
          </w:p>
          <w:p w14:paraId="02E4ED07" w14:textId="77777777" w:rsidR="0035314C" w:rsidRPr="008F5427" w:rsidRDefault="0035314C" w:rsidP="008F5427">
            <w:pPr>
              <w:spacing w:before="60" w:after="60" w:line="280" w:lineRule="atLeast"/>
              <w:rPr>
                <w:rFonts w:ascii="Arial" w:hAnsi="Arial" w:cs="Arial"/>
                <w:lang w:val="en-GB"/>
              </w:rPr>
            </w:pPr>
          </w:p>
          <w:p w14:paraId="2365CCBC" w14:textId="77777777" w:rsidR="00157111" w:rsidRPr="008F5427" w:rsidRDefault="00157111" w:rsidP="008F5427">
            <w:pPr>
              <w:spacing w:before="60" w:after="60" w:line="280" w:lineRule="atLeast"/>
              <w:rPr>
                <w:rFonts w:ascii="Arial" w:hAnsi="Arial" w:cs="Arial"/>
                <w:lang w:val="en-GB"/>
              </w:rPr>
            </w:pPr>
          </w:p>
          <w:p w14:paraId="136BFBB4" w14:textId="77777777" w:rsidR="00157111" w:rsidRPr="008F5427" w:rsidRDefault="00157111" w:rsidP="008F5427">
            <w:pPr>
              <w:spacing w:before="60" w:after="60" w:line="280" w:lineRule="atLeast"/>
              <w:rPr>
                <w:rFonts w:ascii="Arial" w:hAnsi="Arial" w:cs="Arial"/>
                <w:lang w:val="en-GB"/>
              </w:rPr>
            </w:pPr>
          </w:p>
          <w:p w14:paraId="30A3E3BC" w14:textId="77777777" w:rsidR="00157111" w:rsidRPr="008F5427" w:rsidRDefault="00157111" w:rsidP="008F5427">
            <w:pPr>
              <w:spacing w:before="60" w:after="60" w:line="280" w:lineRule="atLeast"/>
              <w:rPr>
                <w:rFonts w:ascii="Arial" w:hAnsi="Arial" w:cs="Arial"/>
                <w:lang w:val="en-GB"/>
              </w:rPr>
            </w:pPr>
          </w:p>
          <w:p w14:paraId="1A6477BE" w14:textId="77777777" w:rsidR="0035314C" w:rsidRPr="008F5427" w:rsidRDefault="0035314C" w:rsidP="008F5427">
            <w:pPr>
              <w:spacing w:before="60" w:after="60" w:line="280" w:lineRule="atLeast"/>
              <w:rPr>
                <w:rFonts w:ascii="Arial" w:hAnsi="Arial" w:cs="Arial"/>
                <w:lang w:val="en-GB"/>
              </w:rPr>
            </w:pPr>
          </w:p>
        </w:tc>
      </w:tr>
      <w:tr w:rsidR="002E41AE" w:rsidRPr="008F5427" w14:paraId="364976AF" w14:textId="77777777" w:rsidTr="008F5427">
        <w:tc>
          <w:tcPr>
            <w:tcW w:w="10188" w:type="dxa"/>
            <w:gridSpan w:val="5"/>
            <w:shd w:val="clear" w:color="auto" w:fill="auto"/>
            <w:vAlign w:val="center"/>
          </w:tcPr>
          <w:p w14:paraId="476CDC3A" w14:textId="77777777" w:rsidR="002E41AE" w:rsidRPr="008F5427" w:rsidRDefault="002E41AE" w:rsidP="008F5427">
            <w:pPr>
              <w:spacing w:before="60" w:after="60" w:line="280" w:lineRule="atLeast"/>
              <w:rPr>
                <w:rFonts w:ascii="Arial" w:hAnsi="Arial" w:cs="Arial"/>
                <w:lang w:val="en-GB"/>
              </w:rPr>
            </w:pPr>
            <w:r w:rsidRPr="008F5427">
              <w:rPr>
                <w:rFonts w:ascii="Arial" w:hAnsi="Arial" w:cs="Arial"/>
                <w:b/>
                <w:lang w:val="en-GB"/>
              </w:rPr>
              <w:t>Outline of the project/ event and its impact on the learning experience.</w:t>
            </w:r>
          </w:p>
        </w:tc>
      </w:tr>
      <w:tr w:rsidR="002E41AE" w:rsidRPr="008F5427" w14:paraId="0EC75706" w14:textId="77777777" w:rsidTr="008F5427">
        <w:tc>
          <w:tcPr>
            <w:tcW w:w="10188" w:type="dxa"/>
            <w:gridSpan w:val="5"/>
            <w:shd w:val="clear" w:color="auto" w:fill="auto"/>
            <w:vAlign w:val="center"/>
          </w:tcPr>
          <w:p w14:paraId="3B5AFAB4" w14:textId="77777777" w:rsidR="002E41AE" w:rsidRPr="008F5427" w:rsidRDefault="002E41AE" w:rsidP="008F5427">
            <w:pPr>
              <w:spacing w:before="60" w:after="60" w:line="280" w:lineRule="atLeast"/>
              <w:rPr>
                <w:rFonts w:ascii="Arial" w:hAnsi="Arial" w:cs="Arial"/>
                <w:lang w:val="en-GB"/>
              </w:rPr>
            </w:pPr>
          </w:p>
          <w:p w14:paraId="2C50B125" w14:textId="77777777" w:rsidR="00157111" w:rsidRPr="008F5427" w:rsidRDefault="00157111" w:rsidP="008F5427">
            <w:pPr>
              <w:spacing w:before="60" w:after="60" w:line="280" w:lineRule="atLeast"/>
              <w:rPr>
                <w:rFonts w:ascii="Arial" w:hAnsi="Arial" w:cs="Arial"/>
                <w:lang w:val="en-GB"/>
              </w:rPr>
            </w:pPr>
          </w:p>
          <w:p w14:paraId="2EA8A58B" w14:textId="77777777" w:rsidR="00157111" w:rsidRPr="008F5427" w:rsidRDefault="00157111" w:rsidP="008F5427">
            <w:pPr>
              <w:spacing w:before="60" w:after="60" w:line="280" w:lineRule="atLeast"/>
              <w:rPr>
                <w:rFonts w:ascii="Arial" w:hAnsi="Arial" w:cs="Arial"/>
                <w:lang w:val="en-GB"/>
              </w:rPr>
            </w:pPr>
          </w:p>
          <w:p w14:paraId="16E39BD1" w14:textId="77777777" w:rsidR="00157111" w:rsidRPr="008F5427" w:rsidRDefault="00157111" w:rsidP="008F5427">
            <w:pPr>
              <w:spacing w:before="60" w:after="60" w:line="280" w:lineRule="atLeast"/>
              <w:rPr>
                <w:rFonts w:ascii="Arial" w:hAnsi="Arial" w:cs="Arial"/>
                <w:lang w:val="en-GB"/>
              </w:rPr>
            </w:pPr>
          </w:p>
          <w:p w14:paraId="34DD5DFE" w14:textId="77777777" w:rsidR="00157111" w:rsidRPr="008F5427" w:rsidRDefault="00157111" w:rsidP="008F5427">
            <w:pPr>
              <w:spacing w:before="60" w:after="60" w:line="280" w:lineRule="atLeast"/>
              <w:rPr>
                <w:rFonts w:ascii="Arial" w:hAnsi="Arial" w:cs="Arial"/>
                <w:lang w:val="en-GB"/>
              </w:rPr>
            </w:pPr>
          </w:p>
          <w:p w14:paraId="2B6BB48A" w14:textId="77777777" w:rsidR="00157111" w:rsidRPr="008F5427" w:rsidRDefault="00157111" w:rsidP="008F5427">
            <w:pPr>
              <w:spacing w:before="60" w:after="60" w:line="280" w:lineRule="atLeast"/>
              <w:rPr>
                <w:rFonts w:ascii="Arial" w:hAnsi="Arial" w:cs="Arial"/>
                <w:lang w:val="en-GB"/>
              </w:rPr>
            </w:pPr>
          </w:p>
          <w:p w14:paraId="5DF9CEC0" w14:textId="77777777" w:rsidR="00157111" w:rsidRPr="008F5427" w:rsidRDefault="00157111" w:rsidP="008F5427">
            <w:pPr>
              <w:spacing w:before="60" w:after="60" w:line="280" w:lineRule="atLeast"/>
              <w:rPr>
                <w:rFonts w:ascii="Arial" w:hAnsi="Arial" w:cs="Arial"/>
                <w:lang w:val="en-GB"/>
              </w:rPr>
            </w:pPr>
          </w:p>
          <w:p w14:paraId="537D7391" w14:textId="77777777" w:rsidR="00157111" w:rsidRPr="008F5427" w:rsidRDefault="00157111" w:rsidP="008F5427">
            <w:pPr>
              <w:spacing w:before="60" w:after="60" w:line="280" w:lineRule="atLeast"/>
              <w:rPr>
                <w:rFonts w:ascii="Arial" w:hAnsi="Arial" w:cs="Arial"/>
                <w:lang w:val="en-GB"/>
              </w:rPr>
            </w:pPr>
          </w:p>
        </w:tc>
      </w:tr>
    </w:tbl>
    <w:p w14:paraId="10623063" w14:textId="77777777" w:rsidR="00157111" w:rsidRDefault="00157111"/>
    <w:p w14:paraId="21E70A14" w14:textId="77777777" w:rsidR="00157111" w:rsidRDefault="00157111"/>
    <w:p w14:paraId="377A5903" w14:textId="77777777" w:rsidR="00157111" w:rsidRDefault="00157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671AD" w:rsidRPr="008F5427" w14:paraId="32E0EFD3" w14:textId="77777777" w:rsidTr="008F5427">
        <w:tc>
          <w:tcPr>
            <w:tcW w:w="10188" w:type="dxa"/>
            <w:shd w:val="clear" w:color="auto" w:fill="auto"/>
            <w:vAlign w:val="center"/>
          </w:tcPr>
          <w:p w14:paraId="6BB5A752" w14:textId="77777777" w:rsidR="00A671AD" w:rsidRPr="008F5427" w:rsidRDefault="0035314C" w:rsidP="008F5427">
            <w:pPr>
              <w:spacing w:before="60" w:after="60" w:line="280" w:lineRule="atLeast"/>
              <w:rPr>
                <w:rFonts w:ascii="Arial" w:hAnsi="Arial" w:cs="Arial"/>
                <w:b/>
                <w:lang w:val="en-GB"/>
              </w:rPr>
            </w:pPr>
            <w:r w:rsidRPr="008F5427">
              <w:rPr>
                <w:rFonts w:ascii="Arial" w:hAnsi="Arial" w:cs="Arial"/>
                <w:b/>
                <w:lang w:val="en-GB"/>
              </w:rPr>
              <w:t>How will the financial award be used</w:t>
            </w:r>
            <w:r w:rsidR="00157111" w:rsidRPr="008F5427">
              <w:rPr>
                <w:rFonts w:ascii="Arial" w:hAnsi="Arial" w:cs="Arial"/>
                <w:b/>
                <w:lang w:val="en-GB"/>
              </w:rPr>
              <w:t xml:space="preserve"> to support this event</w:t>
            </w:r>
            <w:r w:rsidRPr="008F5427">
              <w:rPr>
                <w:rFonts w:ascii="Arial" w:hAnsi="Arial" w:cs="Arial"/>
                <w:b/>
                <w:lang w:val="en-GB"/>
              </w:rPr>
              <w:t>?</w:t>
            </w:r>
          </w:p>
        </w:tc>
      </w:tr>
      <w:tr w:rsidR="00A671AD" w:rsidRPr="008F5427" w14:paraId="00E188C8" w14:textId="77777777" w:rsidTr="008F5427">
        <w:tc>
          <w:tcPr>
            <w:tcW w:w="10188" w:type="dxa"/>
            <w:shd w:val="clear" w:color="auto" w:fill="auto"/>
            <w:vAlign w:val="center"/>
          </w:tcPr>
          <w:p w14:paraId="7A5D2F04" w14:textId="77777777" w:rsidR="00A671AD" w:rsidRPr="008F5427" w:rsidRDefault="00A671AD" w:rsidP="008F5427">
            <w:pPr>
              <w:spacing w:before="60" w:after="60" w:line="280" w:lineRule="atLeast"/>
              <w:rPr>
                <w:rFonts w:ascii="Arial" w:hAnsi="Arial" w:cs="Arial"/>
                <w:lang w:val="en-GB"/>
              </w:rPr>
            </w:pPr>
          </w:p>
          <w:p w14:paraId="63E1A396" w14:textId="77777777" w:rsidR="0035314C" w:rsidRPr="008F5427" w:rsidRDefault="0035314C" w:rsidP="008F5427">
            <w:pPr>
              <w:spacing w:before="60" w:after="60" w:line="280" w:lineRule="atLeast"/>
              <w:rPr>
                <w:rFonts w:ascii="Arial" w:hAnsi="Arial" w:cs="Arial"/>
                <w:lang w:val="en-GB"/>
              </w:rPr>
            </w:pPr>
          </w:p>
          <w:p w14:paraId="624DAA80" w14:textId="77777777" w:rsidR="0035314C" w:rsidRPr="008F5427" w:rsidRDefault="0035314C" w:rsidP="008F5427">
            <w:pPr>
              <w:spacing w:before="60" w:after="60" w:line="280" w:lineRule="atLeast"/>
              <w:rPr>
                <w:rFonts w:ascii="Arial" w:hAnsi="Arial" w:cs="Arial"/>
                <w:lang w:val="en-GB"/>
              </w:rPr>
            </w:pPr>
          </w:p>
          <w:p w14:paraId="5892D7C0" w14:textId="77777777" w:rsidR="00157111" w:rsidRPr="008F5427" w:rsidRDefault="00157111" w:rsidP="008F5427">
            <w:pPr>
              <w:spacing w:before="60" w:after="60" w:line="280" w:lineRule="atLeast"/>
              <w:rPr>
                <w:rFonts w:ascii="Arial" w:hAnsi="Arial" w:cs="Arial"/>
                <w:lang w:val="en-GB"/>
              </w:rPr>
            </w:pPr>
          </w:p>
          <w:p w14:paraId="146BC622" w14:textId="77777777" w:rsidR="00157111" w:rsidRPr="008F5427" w:rsidRDefault="00157111" w:rsidP="008F5427">
            <w:pPr>
              <w:spacing w:before="60" w:after="60" w:line="280" w:lineRule="atLeast"/>
              <w:rPr>
                <w:rFonts w:ascii="Arial" w:hAnsi="Arial" w:cs="Arial"/>
                <w:lang w:val="en-GB"/>
              </w:rPr>
            </w:pPr>
          </w:p>
          <w:p w14:paraId="059CB09D" w14:textId="77777777" w:rsidR="00AD34DE" w:rsidRPr="008F5427" w:rsidRDefault="00AD34DE" w:rsidP="008F5427">
            <w:pPr>
              <w:spacing w:before="60" w:after="60" w:line="280" w:lineRule="atLeast"/>
              <w:rPr>
                <w:rFonts w:ascii="Arial" w:hAnsi="Arial" w:cs="Arial"/>
                <w:lang w:val="en-GB"/>
              </w:rPr>
            </w:pPr>
          </w:p>
          <w:p w14:paraId="67303B98" w14:textId="77777777" w:rsidR="00AD34DE" w:rsidRPr="008F5427" w:rsidRDefault="00AD34DE" w:rsidP="008F5427">
            <w:pPr>
              <w:spacing w:before="60" w:after="60" w:line="280" w:lineRule="atLeast"/>
              <w:rPr>
                <w:rFonts w:ascii="Arial" w:hAnsi="Arial" w:cs="Arial"/>
                <w:lang w:val="en-GB"/>
              </w:rPr>
            </w:pPr>
          </w:p>
          <w:p w14:paraId="406B17C7" w14:textId="77777777" w:rsidR="00157111" w:rsidRPr="008F5427" w:rsidRDefault="00157111" w:rsidP="008F5427">
            <w:pPr>
              <w:spacing w:before="60" w:after="60" w:line="280" w:lineRule="atLeast"/>
              <w:rPr>
                <w:rFonts w:ascii="Arial" w:hAnsi="Arial" w:cs="Arial"/>
                <w:lang w:val="en-GB"/>
              </w:rPr>
            </w:pPr>
          </w:p>
          <w:p w14:paraId="677BF3CC" w14:textId="77777777" w:rsidR="00157111" w:rsidRPr="008F5427" w:rsidRDefault="00157111" w:rsidP="008F5427">
            <w:pPr>
              <w:spacing w:before="60" w:after="60" w:line="280" w:lineRule="atLeast"/>
              <w:rPr>
                <w:rFonts w:ascii="Arial" w:hAnsi="Arial" w:cs="Arial"/>
                <w:lang w:val="en-GB"/>
              </w:rPr>
            </w:pPr>
          </w:p>
          <w:p w14:paraId="1944D664" w14:textId="77777777" w:rsidR="0035314C" w:rsidRPr="008F5427" w:rsidRDefault="0035314C" w:rsidP="008F5427">
            <w:pPr>
              <w:spacing w:before="60" w:after="60" w:line="280" w:lineRule="atLeast"/>
              <w:rPr>
                <w:rFonts w:ascii="Arial" w:hAnsi="Arial" w:cs="Arial"/>
                <w:lang w:val="en-GB"/>
              </w:rPr>
            </w:pPr>
          </w:p>
        </w:tc>
      </w:tr>
      <w:tr w:rsidR="00A671AD" w:rsidRPr="008F5427" w14:paraId="7A9BC241" w14:textId="77777777" w:rsidTr="008F5427">
        <w:tc>
          <w:tcPr>
            <w:tcW w:w="10188" w:type="dxa"/>
            <w:shd w:val="clear" w:color="auto" w:fill="auto"/>
            <w:vAlign w:val="center"/>
          </w:tcPr>
          <w:p w14:paraId="67491AF3" w14:textId="77777777" w:rsidR="00A671AD" w:rsidRPr="008F5427" w:rsidRDefault="0035314C" w:rsidP="008F5427">
            <w:pPr>
              <w:spacing w:before="60" w:after="60" w:line="280" w:lineRule="atLeast"/>
              <w:rPr>
                <w:rFonts w:ascii="Arial" w:hAnsi="Arial" w:cs="Arial"/>
                <w:b/>
                <w:lang w:val="en-GB"/>
              </w:rPr>
            </w:pPr>
            <w:r w:rsidRPr="008F5427">
              <w:rPr>
                <w:rFonts w:ascii="Arial" w:hAnsi="Arial" w:cs="Arial"/>
                <w:b/>
                <w:lang w:val="en-GB"/>
              </w:rPr>
              <w:t xml:space="preserve">Describe which parts of the student community will benefit </w:t>
            </w:r>
            <w:r w:rsidR="003E5144" w:rsidRPr="008F5427">
              <w:rPr>
                <w:rFonts w:ascii="Arial" w:hAnsi="Arial" w:cs="Arial"/>
                <w:b/>
                <w:lang w:val="en-GB"/>
              </w:rPr>
              <w:t xml:space="preserve">from </w:t>
            </w:r>
            <w:r w:rsidRPr="008F5427">
              <w:rPr>
                <w:rFonts w:ascii="Arial" w:hAnsi="Arial" w:cs="Arial"/>
                <w:b/>
                <w:lang w:val="en-GB"/>
              </w:rPr>
              <w:t>your proposal and how they will benefit?</w:t>
            </w:r>
          </w:p>
        </w:tc>
      </w:tr>
      <w:tr w:rsidR="00A671AD" w:rsidRPr="008F5427" w14:paraId="75BC737F" w14:textId="77777777" w:rsidTr="008F5427">
        <w:tc>
          <w:tcPr>
            <w:tcW w:w="10188" w:type="dxa"/>
            <w:shd w:val="clear" w:color="auto" w:fill="auto"/>
            <w:vAlign w:val="center"/>
          </w:tcPr>
          <w:p w14:paraId="44782515" w14:textId="77777777" w:rsidR="00A671AD" w:rsidRPr="008F5427" w:rsidRDefault="00A671AD" w:rsidP="008F5427">
            <w:pPr>
              <w:spacing w:before="60" w:after="60" w:line="280" w:lineRule="atLeast"/>
              <w:rPr>
                <w:rFonts w:ascii="Arial" w:hAnsi="Arial" w:cs="Arial"/>
                <w:lang w:val="en-GB"/>
              </w:rPr>
            </w:pPr>
          </w:p>
          <w:p w14:paraId="50337F01" w14:textId="77777777" w:rsidR="0035314C" w:rsidRPr="008F5427" w:rsidRDefault="0035314C" w:rsidP="008F5427">
            <w:pPr>
              <w:spacing w:before="60" w:after="60" w:line="280" w:lineRule="atLeast"/>
              <w:rPr>
                <w:rFonts w:ascii="Arial" w:hAnsi="Arial" w:cs="Arial"/>
                <w:lang w:val="en-GB"/>
              </w:rPr>
            </w:pPr>
          </w:p>
          <w:p w14:paraId="629C242D" w14:textId="77777777" w:rsidR="00157111" w:rsidRPr="008F5427" w:rsidRDefault="00157111" w:rsidP="008F5427">
            <w:pPr>
              <w:spacing w:before="60" w:after="60" w:line="280" w:lineRule="atLeast"/>
              <w:rPr>
                <w:rFonts w:ascii="Arial" w:hAnsi="Arial" w:cs="Arial"/>
                <w:lang w:val="en-GB"/>
              </w:rPr>
            </w:pPr>
          </w:p>
          <w:p w14:paraId="1B24B1E2" w14:textId="77777777" w:rsidR="00157111" w:rsidRPr="008F5427" w:rsidRDefault="00157111" w:rsidP="008F5427">
            <w:pPr>
              <w:spacing w:before="60" w:after="60" w:line="280" w:lineRule="atLeast"/>
              <w:rPr>
                <w:rFonts w:ascii="Arial" w:hAnsi="Arial" w:cs="Arial"/>
                <w:lang w:val="en-GB"/>
              </w:rPr>
            </w:pPr>
          </w:p>
          <w:p w14:paraId="69C8F547" w14:textId="77777777" w:rsidR="00AD34DE" w:rsidRPr="008F5427" w:rsidRDefault="00AD34DE" w:rsidP="008F5427">
            <w:pPr>
              <w:spacing w:before="60" w:after="60" w:line="280" w:lineRule="atLeast"/>
              <w:rPr>
                <w:rFonts w:ascii="Arial" w:hAnsi="Arial" w:cs="Arial"/>
                <w:lang w:val="en-GB"/>
              </w:rPr>
            </w:pPr>
          </w:p>
          <w:p w14:paraId="5D769E40" w14:textId="77777777" w:rsidR="00AD34DE" w:rsidRPr="008F5427" w:rsidRDefault="00AD34DE" w:rsidP="008F5427">
            <w:pPr>
              <w:spacing w:before="60" w:after="60" w:line="280" w:lineRule="atLeast"/>
              <w:rPr>
                <w:rFonts w:ascii="Arial" w:hAnsi="Arial" w:cs="Arial"/>
                <w:lang w:val="en-GB"/>
              </w:rPr>
            </w:pPr>
          </w:p>
          <w:p w14:paraId="2AA1E7F3" w14:textId="77777777" w:rsidR="00157111" w:rsidRPr="008F5427" w:rsidRDefault="00157111" w:rsidP="008F5427">
            <w:pPr>
              <w:spacing w:before="60" w:after="60" w:line="280" w:lineRule="atLeast"/>
              <w:rPr>
                <w:rFonts w:ascii="Arial" w:hAnsi="Arial" w:cs="Arial"/>
                <w:lang w:val="en-GB"/>
              </w:rPr>
            </w:pPr>
          </w:p>
          <w:p w14:paraId="204C21EE" w14:textId="77777777" w:rsidR="00157111" w:rsidRPr="008F5427" w:rsidRDefault="00157111" w:rsidP="008F5427">
            <w:pPr>
              <w:spacing w:before="60" w:after="60" w:line="280" w:lineRule="atLeast"/>
              <w:rPr>
                <w:rFonts w:ascii="Arial" w:hAnsi="Arial" w:cs="Arial"/>
                <w:lang w:val="en-GB"/>
              </w:rPr>
            </w:pPr>
          </w:p>
          <w:p w14:paraId="23BE7A55" w14:textId="77777777" w:rsidR="00EE23E9" w:rsidRPr="008F5427" w:rsidRDefault="00EE23E9" w:rsidP="008F5427">
            <w:pPr>
              <w:spacing w:before="60" w:after="60" w:line="280" w:lineRule="atLeast"/>
              <w:rPr>
                <w:rFonts w:ascii="Arial" w:hAnsi="Arial" w:cs="Arial"/>
                <w:lang w:val="en-GB"/>
              </w:rPr>
            </w:pPr>
          </w:p>
          <w:p w14:paraId="5D67E4AC" w14:textId="77777777" w:rsidR="0035314C" w:rsidRPr="008F5427" w:rsidRDefault="0035314C" w:rsidP="008F5427">
            <w:pPr>
              <w:spacing w:before="60" w:after="60" w:line="280" w:lineRule="atLeast"/>
              <w:rPr>
                <w:rFonts w:ascii="Arial" w:hAnsi="Arial" w:cs="Arial"/>
                <w:lang w:val="en-GB"/>
              </w:rPr>
            </w:pPr>
          </w:p>
        </w:tc>
      </w:tr>
      <w:tr w:rsidR="00A671AD" w:rsidRPr="008F5427" w14:paraId="14939C53" w14:textId="77777777" w:rsidTr="008F5427">
        <w:tc>
          <w:tcPr>
            <w:tcW w:w="10188" w:type="dxa"/>
            <w:shd w:val="clear" w:color="auto" w:fill="auto"/>
            <w:vAlign w:val="center"/>
          </w:tcPr>
          <w:p w14:paraId="59A7C73F" w14:textId="77777777" w:rsidR="00A671AD" w:rsidRPr="008F5427" w:rsidRDefault="0035314C" w:rsidP="008F5427">
            <w:pPr>
              <w:spacing w:before="60" w:after="60" w:line="280" w:lineRule="atLeast"/>
              <w:rPr>
                <w:rFonts w:ascii="Arial" w:hAnsi="Arial" w:cs="Arial"/>
                <w:b/>
                <w:lang w:val="en-GB"/>
              </w:rPr>
            </w:pPr>
            <w:r w:rsidRPr="008F5427">
              <w:rPr>
                <w:rFonts w:ascii="Arial" w:hAnsi="Arial" w:cs="Arial"/>
                <w:b/>
                <w:lang w:val="en-GB"/>
              </w:rPr>
              <w:t>Identify any wider impact that your project might have (extended time frame, dissemination within a cohort/ between year groups)</w:t>
            </w:r>
            <w:r w:rsidR="003E5144" w:rsidRPr="008F5427">
              <w:rPr>
                <w:rFonts w:ascii="Arial" w:hAnsi="Arial" w:cs="Arial"/>
                <w:b/>
                <w:lang w:val="en-GB"/>
              </w:rPr>
              <w:t>.</w:t>
            </w:r>
          </w:p>
        </w:tc>
      </w:tr>
      <w:tr w:rsidR="00AD34DE" w:rsidRPr="008F5427" w14:paraId="72B7CF27" w14:textId="77777777" w:rsidTr="008F5427">
        <w:tc>
          <w:tcPr>
            <w:tcW w:w="10188" w:type="dxa"/>
            <w:tcBorders>
              <w:bottom w:val="single" w:sz="4" w:space="0" w:color="auto"/>
            </w:tcBorders>
            <w:shd w:val="clear" w:color="auto" w:fill="auto"/>
            <w:vAlign w:val="center"/>
          </w:tcPr>
          <w:p w14:paraId="7DE0C6DC" w14:textId="77777777" w:rsidR="00AD34DE" w:rsidRPr="008F5427" w:rsidRDefault="00AD34DE" w:rsidP="008F5427">
            <w:pPr>
              <w:spacing w:before="60" w:after="60" w:line="280" w:lineRule="atLeast"/>
              <w:rPr>
                <w:rFonts w:ascii="Arial" w:hAnsi="Arial" w:cs="Arial"/>
                <w:lang w:val="en-GB"/>
              </w:rPr>
            </w:pPr>
          </w:p>
          <w:p w14:paraId="3339D44B" w14:textId="77777777" w:rsidR="00AD34DE" w:rsidRPr="008F5427" w:rsidRDefault="00AD34DE" w:rsidP="008F5427">
            <w:pPr>
              <w:spacing w:before="60" w:after="60" w:line="280" w:lineRule="atLeast"/>
              <w:rPr>
                <w:rFonts w:ascii="Arial" w:hAnsi="Arial" w:cs="Arial"/>
                <w:lang w:val="en-GB"/>
              </w:rPr>
            </w:pPr>
          </w:p>
          <w:p w14:paraId="4C920A27" w14:textId="77777777" w:rsidR="00AD34DE" w:rsidRPr="008F5427" w:rsidRDefault="00AD34DE" w:rsidP="008F5427">
            <w:pPr>
              <w:spacing w:before="60" w:after="60" w:line="280" w:lineRule="atLeast"/>
              <w:rPr>
                <w:rFonts w:ascii="Arial" w:hAnsi="Arial" w:cs="Arial"/>
                <w:lang w:val="en-GB"/>
              </w:rPr>
            </w:pPr>
          </w:p>
          <w:p w14:paraId="199C49E5" w14:textId="77777777" w:rsidR="00AD34DE" w:rsidRPr="008F5427" w:rsidRDefault="00AD34DE" w:rsidP="008F5427">
            <w:pPr>
              <w:spacing w:before="60" w:after="60" w:line="280" w:lineRule="atLeast"/>
              <w:rPr>
                <w:rFonts w:ascii="Arial" w:hAnsi="Arial" w:cs="Arial"/>
                <w:lang w:val="en-GB"/>
              </w:rPr>
            </w:pPr>
          </w:p>
          <w:p w14:paraId="1BCB93DC" w14:textId="77777777" w:rsidR="00AD34DE" w:rsidRPr="008F5427" w:rsidRDefault="00AD34DE" w:rsidP="008F5427">
            <w:pPr>
              <w:spacing w:before="60" w:after="60" w:line="280" w:lineRule="atLeast"/>
              <w:rPr>
                <w:rFonts w:ascii="Arial" w:hAnsi="Arial" w:cs="Arial"/>
                <w:lang w:val="en-GB"/>
              </w:rPr>
            </w:pPr>
          </w:p>
          <w:p w14:paraId="6BF42534" w14:textId="77777777" w:rsidR="00AD34DE" w:rsidRPr="008F5427" w:rsidRDefault="00AD34DE" w:rsidP="008F5427">
            <w:pPr>
              <w:spacing w:before="60" w:after="60" w:line="280" w:lineRule="atLeast"/>
              <w:rPr>
                <w:rFonts w:ascii="Arial" w:hAnsi="Arial" w:cs="Arial"/>
                <w:lang w:val="en-GB"/>
              </w:rPr>
            </w:pPr>
          </w:p>
          <w:p w14:paraId="10442445" w14:textId="77777777" w:rsidR="00AD34DE" w:rsidRPr="008F5427" w:rsidRDefault="00AD34DE" w:rsidP="008F5427">
            <w:pPr>
              <w:spacing w:before="60" w:after="60" w:line="280" w:lineRule="atLeast"/>
              <w:rPr>
                <w:rFonts w:ascii="Arial" w:hAnsi="Arial" w:cs="Arial"/>
                <w:lang w:val="en-GB"/>
              </w:rPr>
            </w:pPr>
          </w:p>
          <w:p w14:paraId="21301F98" w14:textId="77777777" w:rsidR="00AD34DE" w:rsidRPr="008F5427" w:rsidRDefault="00AD34DE" w:rsidP="008F5427">
            <w:pPr>
              <w:spacing w:before="60" w:after="60" w:line="280" w:lineRule="atLeast"/>
              <w:rPr>
                <w:rFonts w:ascii="Arial" w:hAnsi="Arial" w:cs="Arial"/>
                <w:lang w:val="en-GB"/>
              </w:rPr>
            </w:pPr>
          </w:p>
          <w:p w14:paraId="4E38CA5B" w14:textId="77777777" w:rsidR="00AD34DE" w:rsidRPr="008F5427" w:rsidRDefault="00AD34DE" w:rsidP="008F5427">
            <w:pPr>
              <w:spacing w:before="60" w:after="60" w:line="280" w:lineRule="atLeast"/>
              <w:rPr>
                <w:rFonts w:ascii="Arial" w:hAnsi="Arial" w:cs="Arial"/>
                <w:lang w:val="en-GB"/>
              </w:rPr>
            </w:pPr>
          </w:p>
          <w:p w14:paraId="73B7F17A" w14:textId="77777777" w:rsidR="00AD34DE" w:rsidRPr="008F5427" w:rsidRDefault="00AD34DE" w:rsidP="008F5427">
            <w:pPr>
              <w:spacing w:before="60" w:after="60" w:line="280" w:lineRule="atLeast"/>
              <w:rPr>
                <w:rFonts w:ascii="Arial" w:hAnsi="Arial" w:cs="Arial"/>
                <w:lang w:val="en-GB"/>
              </w:rPr>
            </w:pPr>
          </w:p>
        </w:tc>
      </w:tr>
    </w:tbl>
    <w:p w14:paraId="1092F27F" w14:textId="77777777" w:rsidR="00B46F7D" w:rsidRPr="00206288" w:rsidRDefault="00A671AD" w:rsidP="00EE23E9">
      <w:pPr>
        <w:spacing w:beforeLines="60" w:before="144" w:afterLines="60" w:after="144" w:line="280" w:lineRule="atLeast"/>
        <w:rPr>
          <w:rFonts w:ascii="Arial" w:hAnsi="Arial" w:cs="Arial"/>
          <w:b/>
          <w:sz w:val="22"/>
          <w:szCs w:val="22"/>
          <w:lang w:val="en-GB"/>
        </w:rPr>
      </w:pPr>
      <w:r>
        <w:rPr>
          <w:rFonts w:ascii="Arial" w:hAnsi="Arial" w:cs="Arial"/>
          <w:lang w:val="en-GB"/>
        </w:rPr>
        <w:br w:type="page"/>
      </w:r>
      <w:r w:rsidR="00206288" w:rsidRPr="00206288">
        <w:rPr>
          <w:rFonts w:ascii="Arial" w:hAnsi="Arial" w:cs="Arial"/>
          <w:b/>
          <w:sz w:val="22"/>
          <w:szCs w:val="22"/>
          <w:lang w:val="en-GB"/>
        </w:rPr>
        <w:lastRenderedPageBreak/>
        <w:t>Supporting notes</w:t>
      </w:r>
    </w:p>
    <w:p w14:paraId="706DB831" w14:textId="1D2672E9" w:rsidR="00206288" w:rsidRPr="00206288" w:rsidRDefault="00206288" w:rsidP="00A5754A">
      <w:pPr>
        <w:spacing w:beforeLines="40" w:before="96" w:afterLines="40" w:after="96" w:line="280" w:lineRule="atLeast"/>
        <w:rPr>
          <w:rFonts w:ascii="Arial" w:hAnsi="Arial" w:cs="Arial"/>
          <w:sz w:val="22"/>
          <w:szCs w:val="22"/>
          <w:lang w:val="en-GB"/>
        </w:rPr>
      </w:pPr>
      <w:r w:rsidRPr="00206288">
        <w:rPr>
          <w:rFonts w:ascii="Arial" w:hAnsi="Arial" w:cs="Arial"/>
          <w:sz w:val="22"/>
          <w:szCs w:val="22"/>
          <w:lang w:val="en-GB"/>
        </w:rPr>
        <w:t>More information about the Education Support Group can be found at:</w:t>
      </w:r>
      <w:r w:rsidR="00A740A1">
        <w:rPr>
          <w:rFonts w:ascii="Arial" w:hAnsi="Arial" w:cs="Arial"/>
          <w:sz w:val="22"/>
          <w:szCs w:val="22"/>
          <w:lang w:val="en-GB"/>
        </w:rPr>
        <w:t xml:space="preserve"> </w:t>
      </w:r>
      <w:r w:rsidR="003F1A14" w:rsidRPr="003F1A14">
        <w:rPr>
          <w:rFonts w:ascii="Arial" w:hAnsi="Arial" w:cs="Arial"/>
          <w:sz w:val="22"/>
          <w:szCs w:val="22"/>
          <w:lang w:val="en-GB"/>
        </w:rPr>
        <w:t>https://www.rscbmcs.org/educationsupport/</w:t>
      </w:r>
    </w:p>
    <w:p w14:paraId="3C4029A2" w14:textId="59176574" w:rsidR="00B46F7D" w:rsidRDefault="00B46F7D" w:rsidP="00A5754A">
      <w:pPr>
        <w:spacing w:beforeLines="40" w:before="96" w:afterLines="40" w:after="96" w:line="280" w:lineRule="atLeast"/>
        <w:rPr>
          <w:rFonts w:ascii="Arial" w:hAnsi="Arial" w:cs="Arial"/>
          <w:sz w:val="22"/>
          <w:szCs w:val="22"/>
          <w:lang w:val="en-GB"/>
        </w:rPr>
      </w:pPr>
      <w:hyperlink r:id="rId6" w:history="1"/>
    </w:p>
    <w:p w14:paraId="048A132E" w14:textId="77777777" w:rsidR="00AD34DE" w:rsidRPr="00A5754A" w:rsidRDefault="00AD34DE" w:rsidP="00AD34DE">
      <w:pPr>
        <w:spacing w:beforeLines="60" w:before="144" w:afterLines="60" w:after="144" w:line="280" w:lineRule="atLeast"/>
        <w:rPr>
          <w:rFonts w:ascii="Arial" w:hAnsi="Arial" w:cs="Arial"/>
          <w:b/>
          <w:sz w:val="22"/>
          <w:szCs w:val="22"/>
          <w:lang w:val="en-GB"/>
        </w:rPr>
      </w:pPr>
      <w:r w:rsidRPr="00A5754A">
        <w:rPr>
          <w:rFonts w:ascii="Arial" w:hAnsi="Arial" w:cs="Arial"/>
          <w:b/>
          <w:sz w:val="22"/>
          <w:szCs w:val="22"/>
          <w:lang w:val="en-GB"/>
        </w:rPr>
        <w:t>Application deadline(s)</w:t>
      </w:r>
    </w:p>
    <w:p w14:paraId="400E91B2" w14:textId="77777777" w:rsidR="00AD34DE" w:rsidRDefault="00AD34DE" w:rsidP="00AD34DE">
      <w:pPr>
        <w:spacing w:beforeLines="40" w:before="96" w:afterLines="40" w:after="96" w:line="280" w:lineRule="atLeast"/>
        <w:rPr>
          <w:rFonts w:ascii="Arial" w:hAnsi="Arial" w:cs="Arial"/>
          <w:sz w:val="22"/>
          <w:szCs w:val="22"/>
          <w:lang w:val="en-GB"/>
        </w:rPr>
      </w:pPr>
      <w:r>
        <w:rPr>
          <w:rFonts w:ascii="Arial" w:hAnsi="Arial" w:cs="Arial"/>
          <w:sz w:val="22"/>
          <w:szCs w:val="22"/>
          <w:lang w:val="en-GB"/>
        </w:rPr>
        <w:t>BMCS meets quarterly throughout the year (Dec, Mar, June, Sept) and at each meeting will discuss recommendations for funding of applications for all the above funding streams.  Applications received by the following three dates will be considered at the next available BMCS meeting:</w:t>
      </w:r>
    </w:p>
    <w:p w14:paraId="09F8262B" w14:textId="77777777" w:rsidR="00AD34DE" w:rsidRDefault="00AD34DE" w:rsidP="00AD34DE">
      <w:pPr>
        <w:spacing w:beforeLines="40" w:before="96" w:afterLines="40" w:after="96" w:line="280" w:lineRule="atLeast"/>
        <w:rPr>
          <w:rFonts w:ascii="Arial" w:hAnsi="Arial" w:cs="Arial"/>
          <w:sz w:val="22"/>
          <w:szCs w:val="22"/>
          <w:lang w:val="en-GB"/>
        </w:rPr>
      </w:pPr>
      <w:r w:rsidRPr="008624A6">
        <w:rPr>
          <w:rFonts w:ascii="Arial" w:hAnsi="Arial" w:cs="Arial"/>
          <w:i/>
          <w:sz w:val="22"/>
          <w:szCs w:val="22"/>
          <w:lang w:val="en-GB"/>
        </w:rPr>
        <w:t>Receipt</w:t>
      </w:r>
      <w:r>
        <w:rPr>
          <w:rFonts w:ascii="Arial" w:hAnsi="Arial" w:cs="Arial"/>
          <w:sz w:val="22"/>
          <w:szCs w:val="22"/>
          <w:lang w:val="en-GB"/>
        </w:rPr>
        <w:t xml:space="preserve">:  </w:t>
      </w:r>
      <w:r w:rsidR="00DE5BE8">
        <w:rPr>
          <w:rFonts w:ascii="Arial" w:hAnsi="Arial" w:cs="Arial"/>
          <w:sz w:val="22"/>
          <w:szCs w:val="22"/>
          <w:lang w:val="en-GB"/>
        </w:rPr>
        <w:t>15</w:t>
      </w:r>
      <w:r w:rsidR="00BA392E">
        <w:rPr>
          <w:rFonts w:ascii="Arial" w:hAnsi="Arial" w:cs="Arial"/>
          <w:sz w:val="22"/>
          <w:szCs w:val="22"/>
          <w:lang w:val="en-GB"/>
        </w:rPr>
        <w:t xml:space="preserve"> </w:t>
      </w:r>
      <w:r>
        <w:rPr>
          <w:rFonts w:ascii="Arial" w:hAnsi="Arial" w:cs="Arial"/>
          <w:sz w:val="22"/>
          <w:szCs w:val="22"/>
          <w:lang w:val="en-GB"/>
        </w:rPr>
        <w:t>November</w:t>
      </w:r>
      <w:r w:rsidR="00BA392E">
        <w:rPr>
          <w:rFonts w:ascii="Arial" w:hAnsi="Arial" w:cs="Arial"/>
          <w:sz w:val="22"/>
          <w:szCs w:val="22"/>
          <w:lang w:val="en-GB"/>
        </w:rPr>
        <w:tab/>
      </w:r>
      <w:r w:rsidRPr="008624A6">
        <w:rPr>
          <w:rFonts w:ascii="Arial" w:hAnsi="Arial" w:cs="Arial"/>
          <w:i/>
          <w:sz w:val="22"/>
          <w:szCs w:val="22"/>
          <w:lang w:val="en-GB"/>
        </w:rPr>
        <w:t>Notification of decision</w:t>
      </w:r>
      <w:r>
        <w:rPr>
          <w:rFonts w:ascii="Arial" w:hAnsi="Arial" w:cs="Arial"/>
          <w:sz w:val="22"/>
          <w:szCs w:val="22"/>
          <w:lang w:val="en-GB"/>
        </w:rPr>
        <w:t xml:space="preserve">: </w:t>
      </w:r>
      <w:r w:rsidR="00BA392E">
        <w:rPr>
          <w:rFonts w:ascii="Arial" w:hAnsi="Arial" w:cs="Arial"/>
          <w:sz w:val="22"/>
          <w:szCs w:val="22"/>
          <w:lang w:val="en-GB"/>
        </w:rPr>
        <w:t xml:space="preserve"> </w:t>
      </w:r>
      <w:proofErr w:type="spellStart"/>
      <w:r>
        <w:rPr>
          <w:rFonts w:ascii="Arial" w:hAnsi="Arial" w:cs="Arial"/>
          <w:sz w:val="22"/>
          <w:szCs w:val="22"/>
          <w:lang w:val="en-GB"/>
        </w:rPr>
        <w:t>mid December</w:t>
      </w:r>
      <w:proofErr w:type="spellEnd"/>
    </w:p>
    <w:p w14:paraId="0FDD048F" w14:textId="77777777" w:rsidR="00AD34DE" w:rsidRDefault="00AD34DE" w:rsidP="00AD34DE">
      <w:pPr>
        <w:spacing w:beforeLines="40" w:before="96" w:afterLines="40" w:after="96" w:line="280" w:lineRule="atLeast"/>
        <w:rPr>
          <w:rFonts w:ascii="Arial" w:hAnsi="Arial" w:cs="Arial"/>
          <w:sz w:val="22"/>
          <w:szCs w:val="22"/>
          <w:lang w:val="en-GB"/>
        </w:rPr>
      </w:pPr>
      <w:r w:rsidRPr="008624A6">
        <w:rPr>
          <w:rFonts w:ascii="Arial" w:hAnsi="Arial" w:cs="Arial"/>
          <w:i/>
          <w:sz w:val="22"/>
          <w:szCs w:val="22"/>
          <w:lang w:val="en-GB"/>
        </w:rPr>
        <w:t>Receipt:</w:t>
      </w:r>
      <w:r>
        <w:rPr>
          <w:rFonts w:ascii="Arial" w:hAnsi="Arial" w:cs="Arial"/>
          <w:sz w:val="22"/>
          <w:szCs w:val="22"/>
          <w:lang w:val="en-GB"/>
        </w:rPr>
        <w:t xml:space="preserve">  </w:t>
      </w:r>
      <w:r w:rsidR="00DE5BE8">
        <w:rPr>
          <w:rFonts w:ascii="Arial" w:hAnsi="Arial" w:cs="Arial"/>
          <w:sz w:val="22"/>
          <w:szCs w:val="22"/>
          <w:lang w:val="en-GB"/>
        </w:rPr>
        <w:t>15</w:t>
      </w:r>
      <w:r w:rsidR="00BA392E">
        <w:rPr>
          <w:rFonts w:ascii="Arial" w:hAnsi="Arial" w:cs="Arial"/>
          <w:sz w:val="22"/>
          <w:szCs w:val="22"/>
          <w:lang w:val="en-GB"/>
        </w:rPr>
        <w:t xml:space="preserve"> </w:t>
      </w:r>
      <w:r>
        <w:rPr>
          <w:rFonts w:ascii="Arial" w:hAnsi="Arial" w:cs="Arial"/>
          <w:sz w:val="22"/>
          <w:szCs w:val="22"/>
          <w:lang w:val="en-GB"/>
        </w:rPr>
        <w:t>February</w:t>
      </w:r>
      <w:r w:rsidR="00BA392E">
        <w:rPr>
          <w:rFonts w:ascii="Arial" w:hAnsi="Arial" w:cs="Arial"/>
          <w:sz w:val="22"/>
          <w:szCs w:val="22"/>
          <w:lang w:val="en-GB"/>
        </w:rPr>
        <w:tab/>
      </w:r>
      <w:r w:rsidR="00BA392E">
        <w:rPr>
          <w:rFonts w:ascii="Arial" w:hAnsi="Arial" w:cs="Arial"/>
          <w:sz w:val="22"/>
          <w:szCs w:val="22"/>
          <w:lang w:val="en-GB"/>
        </w:rPr>
        <w:tab/>
      </w:r>
      <w:r w:rsidRPr="008624A6">
        <w:rPr>
          <w:rFonts w:ascii="Arial" w:hAnsi="Arial" w:cs="Arial"/>
          <w:i/>
          <w:sz w:val="22"/>
          <w:szCs w:val="22"/>
          <w:lang w:val="en-GB"/>
        </w:rPr>
        <w:t>Notification of decision</w:t>
      </w:r>
      <w:r>
        <w:rPr>
          <w:rFonts w:ascii="Arial" w:hAnsi="Arial" w:cs="Arial"/>
          <w:sz w:val="22"/>
          <w:szCs w:val="22"/>
          <w:lang w:val="en-GB"/>
        </w:rPr>
        <w:t xml:space="preserve">: </w:t>
      </w:r>
      <w:r w:rsidR="00BA392E">
        <w:rPr>
          <w:rFonts w:ascii="Arial" w:hAnsi="Arial" w:cs="Arial"/>
          <w:sz w:val="22"/>
          <w:szCs w:val="22"/>
          <w:lang w:val="en-GB"/>
        </w:rPr>
        <w:t xml:space="preserve"> </w:t>
      </w:r>
      <w:proofErr w:type="spellStart"/>
      <w:r>
        <w:rPr>
          <w:rFonts w:ascii="Arial" w:hAnsi="Arial" w:cs="Arial"/>
          <w:sz w:val="22"/>
          <w:szCs w:val="22"/>
          <w:lang w:val="en-GB"/>
        </w:rPr>
        <w:t>mid March</w:t>
      </w:r>
      <w:proofErr w:type="spellEnd"/>
    </w:p>
    <w:p w14:paraId="2D04999F" w14:textId="77777777" w:rsidR="00AD34DE" w:rsidRDefault="00AD34DE" w:rsidP="00AD34DE">
      <w:pPr>
        <w:spacing w:beforeLines="40" w:before="96" w:afterLines="40" w:after="96" w:line="280" w:lineRule="atLeast"/>
        <w:rPr>
          <w:rFonts w:ascii="Arial" w:hAnsi="Arial" w:cs="Arial"/>
          <w:sz w:val="22"/>
          <w:szCs w:val="22"/>
          <w:lang w:val="en-GB"/>
        </w:rPr>
      </w:pPr>
      <w:r w:rsidRPr="008624A6">
        <w:rPr>
          <w:rFonts w:ascii="Arial" w:hAnsi="Arial" w:cs="Arial"/>
          <w:i/>
          <w:sz w:val="22"/>
          <w:szCs w:val="22"/>
          <w:lang w:val="en-GB"/>
        </w:rPr>
        <w:t>Receipt:</w:t>
      </w:r>
      <w:r>
        <w:rPr>
          <w:rFonts w:ascii="Arial" w:hAnsi="Arial" w:cs="Arial"/>
          <w:sz w:val="22"/>
          <w:szCs w:val="22"/>
          <w:lang w:val="en-GB"/>
        </w:rPr>
        <w:t xml:space="preserve">  </w:t>
      </w:r>
      <w:r w:rsidR="00DE5BE8">
        <w:rPr>
          <w:rFonts w:ascii="Arial" w:hAnsi="Arial" w:cs="Arial"/>
          <w:sz w:val="22"/>
          <w:szCs w:val="22"/>
          <w:lang w:val="en-GB"/>
        </w:rPr>
        <w:t xml:space="preserve">15 May </w:t>
      </w:r>
      <w:r w:rsidR="00BA392E">
        <w:rPr>
          <w:rFonts w:ascii="Arial" w:hAnsi="Arial" w:cs="Arial"/>
          <w:sz w:val="22"/>
          <w:szCs w:val="22"/>
          <w:lang w:val="en-GB"/>
        </w:rPr>
        <w:tab/>
      </w:r>
      <w:r w:rsidR="00BA392E">
        <w:rPr>
          <w:rFonts w:ascii="Arial" w:hAnsi="Arial" w:cs="Arial"/>
          <w:sz w:val="22"/>
          <w:szCs w:val="22"/>
          <w:lang w:val="en-GB"/>
        </w:rPr>
        <w:tab/>
      </w:r>
      <w:r w:rsidRPr="008624A6">
        <w:rPr>
          <w:rFonts w:ascii="Arial" w:hAnsi="Arial" w:cs="Arial"/>
          <w:i/>
          <w:sz w:val="22"/>
          <w:szCs w:val="22"/>
          <w:lang w:val="en-GB"/>
        </w:rPr>
        <w:t>Notification of decision</w:t>
      </w:r>
      <w:r>
        <w:rPr>
          <w:rFonts w:ascii="Arial" w:hAnsi="Arial" w:cs="Arial"/>
          <w:sz w:val="22"/>
          <w:szCs w:val="22"/>
          <w:lang w:val="en-GB"/>
        </w:rPr>
        <w:t xml:space="preserve">: </w:t>
      </w:r>
      <w:r w:rsidR="00BA392E">
        <w:rPr>
          <w:rFonts w:ascii="Arial" w:hAnsi="Arial" w:cs="Arial"/>
          <w:sz w:val="22"/>
          <w:szCs w:val="22"/>
          <w:lang w:val="en-GB"/>
        </w:rPr>
        <w:t xml:space="preserve"> </w:t>
      </w:r>
      <w:proofErr w:type="spellStart"/>
      <w:r>
        <w:rPr>
          <w:rFonts w:ascii="Arial" w:hAnsi="Arial" w:cs="Arial"/>
          <w:sz w:val="22"/>
          <w:szCs w:val="22"/>
          <w:lang w:val="en-GB"/>
        </w:rPr>
        <w:t>mid Ju</w:t>
      </w:r>
      <w:r w:rsidR="00DE5BE8">
        <w:rPr>
          <w:rFonts w:ascii="Arial" w:hAnsi="Arial" w:cs="Arial"/>
          <w:sz w:val="22"/>
          <w:szCs w:val="22"/>
          <w:lang w:val="en-GB"/>
        </w:rPr>
        <w:t>ne</w:t>
      </w:r>
      <w:proofErr w:type="spellEnd"/>
    </w:p>
    <w:p w14:paraId="24864107" w14:textId="77777777" w:rsidR="00DE5BE8" w:rsidRDefault="00BA392E" w:rsidP="00AD34DE">
      <w:pPr>
        <w:spacing w:beforeLines="40" w:before="96" w:afterLines="40" w:after="96" w:line="280" w:lineRule="atLeast"/>
        <w:rPr>
          <w:rFonts w:ascii="Arial" w:hAnsi="Arial" w:cs="Arial"/>
          <w:sz w:val="22"/>
          <w:szCs w:val="22"/>
          <w:lang w:val="en-GB"/>
        </w:rPr>
      </w:pPr>
      <w:r>
        <w:rPr>
          <w:rFonts w:ascii="Arial" w:hAnsi="Arial" w:cs="Arial"/>
          <w:sz w:val="22"/>
          <w:szCs w:val="22"/>
          <w:lang w:val="en-GB"/>
        </w:rPr>
        <w:t>Receipt: 15 Aug</w:t>
      </w:r>
      <w:r>
        <w:rPr>
          <w:rFonts w:ascii="Arial" w:hAnsi="Arial" w:cs="Arial"/>
          <w:sz w:val="22"/>
          <w:szCs w:val="22"/>
          <w:lang w:val="en-GB"/>
        </w:rPr>
        <w:tab/>
      </w:r>
      <w:r>
        <w:rPr>
          <w:rFonts w:ascii="Arial" w:hAnsi="Arial" w:cs="Arial"/>
          <w:sz w:val="22"/>
          <w:szCs w:val="22"/>
          <w:lang w:val="en-GB"/>
        </w:rPr>
        <w:tab/>
        <w:t xml:space="preserve">Notification of decision:  </w:t>
      </w:r>
      <w:proofErr w:type="spellStart"/>
      <w:r>
        <w:rPr>
          <w:rFonts w:ascii="Arial" w:hAnsi="Arial" w:cs="Arial"/>
          <w:sz w:val="22"/>
          <w:szCs w:val="22"/>
          <w:lang w:val="en-GB"/>
        </w:rPr>
        <w:t>m</w:t>
      </w:r>
      <w:r w:rsidR="00DE5BE8">
        <w:rPr>
          <w:rFonts w:ascii="Arial" w:hAnsi="Arial" w:cs="Arial"/>
          <w:sz w:val="22"/>
          <w:szCs w:val="22"/>
          <w:lang w:val="en-GB"/>
        </w:rPr>
        <w:t>id September</w:t>
      </w:r>
      <w:proofErr w:type="spellEnd"/>
    </w:p>
    <w:p w14:paraId="4D798255" w14:textId="77777777" w:rsidR="00AD34DE" w:rsidRPr="00AD34DE" w:rsidRDefault="00AD34DE" w:rsidP="00A5754A">
      <w:pPr>
        <w:spacing w:beforeLines="40" w:before="96" w:afterLines="40" w:after="96" w:line="280" w:lineRule="atLeast"/>
        <w:rPr>
          <w:rFonts w:ascii="Arial" w:hAnsi="Arial" w:cs="Arial"/>
          <w:sz w:val="22"/>
          <w:szCs w:val="22"/>
          <w:lang w:val="en-GB"/>
        </w:rPr>
      </w:pPr>
    </w:p>
    <w:p w14:paraId="4989DA15" w14:textId="77777777" w:rsidR="00206288" w:rsidRPr="00206288" w:rsidRDefault="00AD34DE" w:rsidP="00EE23E9">
      <w:pPr>
        <w:pStyle w:val="Default"/>
        <w:autoSpaceDE/>
        <w:autoSpaceDN/>
        <w:adjustRightInd/>
        <w:spacing w:beforeLines="60" w:before="144" w:afterLines="60" w:after="144" w:line="280" w:lineRule="atLeast"/>
        <w:rPr>
          <w:rFonts w:ascii="Arial" w:hAnsi="Arial" w:cs="Arial"/>
          <w:b/>
          <w:sz w:val="22"/>
          <w:szCs w:val="22"/>
        </w:rPr>
      </w:pPr>
      <w:r>
        <w:rPr>
          <w:rFonts w:ascii="Arial" w:hAnsi="Arial" w:cs="Arial"/>
          <w:b/>
          <w:sz w:val="22"/>
          <w:szCs w:val="22"/>
          <w:lang w:val="en-GB"/>
        </w:rPr>
        <w:t xml:space="preserve">* </w:t>
      </w:r>
      <w:r w:rsidR="00206288" w:rsidRPr="00206288">
        <w:rPr>
          <w:rFonts w:ascii="Arial" w:hAnsi="Arial" w:cs="Arial"/>
          <w:b/>
          <w:sz w:val="22"/>
          <w:szCs w:val="22"/>
          <w:lang w:val="en-GB"/>
        </w:rPr>
        <w:t>Funding Streams</w:t>
      </w:r>
      <w:r w:rsidR="00206288" w:rsidRPr="00206288">
        <w:rPr>
          <w:rFonts w:ascii="Arial" w:hAnsi="Arial" w:cs="Arial"/>
          <w:b/>
          <w:sz w:val="22"/>
          <w:szCs w:val="22"/>
          <w:lang w:val="en-GB"/>
        </w:rPr>
        <w:tab/>
      </w:r>
      <w:r w:rsidR="00792078">
        <w:rPr>
          <w:rFonts w:ascii="Arial" w:hAnsi="Arial" w:cs="Arial"/>
          <w:b/>
          <w:sz w:val="22"/>
          <w:szCs w:val="22"/>
          <w:lang w:val="en-GB"/>
        </w:rPr>
        <w:t xml:space="preserve"> (a) </w:t>
      </w:r>
      <w:r w:rsidR="00206288">
        <w:rPr>
          <w:rFonts w:ascii="Arial" w:hAnsi="Arial" w:cs="Arial"/>
          <w:b/>
          <w:sz w:val="22"/>
          <w:szCs w:val="22"/>
        </w:rPr>
        <w:t>Local Section Events</w:t>
      </w:r>
    </w:p>
    <w:p w14:paraId="4880445A" w14:textId="77777777" w:rsidR="00206288" w:rsidRDefault="00206288" w:rsidP="00A5754A">
      <w:pPr>
        <w:spacing w:beforeLines="40" w:before="96" w:afterLines="40" w:after="96" w:line="280" w:lineRule="atLeast"/>
        <w:rPr>
          <w:rFonts w:ascii="Arial" w:hAnsi="Arial" w:cs="Arial"/>
          <w:sz w:val="22"/>
          <w:szCs w:val="22"/>
          <w:lang w:val="en-GB"/>
        </w:rPr>
      </w:pPr>
      <w:r w:rsidRPr="00206288">
        <w:rPr>
          <w:rFonts w:ascii="Arial" w:hAnsi="Arial" w:cs="Arial"/>
          <w:sz w:val="22"/>
          <w:szCs w:val="22"/>
          <w:lang w:val="en-GB"/>
        </w:rPr>
        <w:t>Support for</w:t>
      </w:r>
      <w:r>
        <w:rPr>
          <w:rFonts w:ascii="Arial" w:hAnsi="Arial" w:cs="Arial"/>
          <w:sz w:val="22"/>
          <w:szCs w:val="22"/>
          <w:lang w:val="en-GB"/>
        </w:rPr>
        <w:t xml:space="preserve"> chemistry</w:t>
      </w:r>
      <w:r w:rsidRPr="00206288">
        <w:rPr>
          <w:rFonts w:ascii="Arial" w:hAnsi="Arial" w:cs="Arial"/>
          <w:sz w:val="22"/>
          <w:szCs w:val="22"/>
          <w:lang w:val="en-GB"/>
        </w:rPr>
        <w:t xml:space="preserve"> outreach activities targeting primary or secondary education hosted, or organised, in association with a Local Section branch of the Royal Society of Chemistry (for information about your Local Section go to </w:t>
      </w:r>
      <w:hyperlink r:id="rId7" w:history="1">
        <w:r w:rsidRPr="00C961AD">
          <w:rPr>
            <w:rStyle w:val="Hyperlink"/>
            <w:rFonts w:ascii="Arial" w:hAnsi="Arial" w:cs="Arial"/>
            <w:sz w:val="22"/>
            <w:szCs w:val="22"/>
            <w:lang w:val="en-GB"/>
          </w:rPr>
          <w:t>http://www.rsc.org/Membership/Networking/LocalSections/index.asp</w:t>
        </w:r>
      </w:hyperlink>
      <w:r w:rsidRPr="00206288">
        <w:rPr>
          <w:rFonts w:ascii="Arial" w:hAnsi="Arial" w:cs="Arial"/>
          <w:sz w:val="22"/>
          <w:szCs w:val="22"/>
          <w:lang w:val="en-GB"/>
        </w:rPr>
        <w:t>)</w:t>
      </w:r>
      <w:r>
        <w:rPr>
          <w:rFonts w:ascii="Arial" w:hAnsi="Arial" w:cs="Arial"/>
          <w:sz w:val="22"/>
          <w:szCs w:val="22"/>
          <w:lang w:val="en-GB"/>
        </w:rPr>
        <w:t xml:space="preserve">. </w:t>
      </w:r>
      <w:r w:rsidRPr="00206288">
        <w:rPr>
          <w:sz w:val="20"/>
          <w:szCs w:val="20"/>
          <w:lang w:val="en-GB" w:eastAsia="en-GB" w:bidi="ar-SA"/>
        </w:rPr>
        <w:t xml:space="preserve"> </w:t>
      </w:r>
      <w:r w:rsidRPr="00206288">
        <w:rPr>
          <w:rFonts w:ascii="Arial" w:hAnsi="Arial" w:cs="Arial"/>
          <w:sz w:val="22"/>
          <w:szCs w:val="22"/>
          <w:lang w:val="en-GB" w:bidi="ar-SA"/>
        </w:rPr>
        <w:t>These might be targeted at a particular age group and may include hands-on activities, discussions sessions, talks, site visits, careers events and so on. In fact, anything that might encourage an interest in the subject (and its impact on the wellbeing of ourselves and our environment) and/ or give a student an insight into what a future in chemistry might hold for them.</w:t>
      </w:r>
      <w:r>
        <w:rPr>
          <w:rFonts w:ascii="Arial" w:hAnsi="Arial" w:cs="Arial"/>
          <w:sz w:val="22"/>
          <w:szCs w:val="22"/>
          <w:lang w:val="en-GB"/>
        </w:rPr>
        <w:t xml:space="preserve">  </w:t>
      </w:r>
      <w:r w:rsidRPr="00BA392E">
        <w:rPr>
          <w:rFonts w:ascii="Arial" w:hAnsi="Arial" w:cs="Arial"/>
          <w:b/>
          <w:sz w:val="22"/>
          <w:szCs w:val="22"/>
          <w:lang w:val="en-GB"/>
        </w:rPr>
        <w:t>The application must be made through the local section</w:t>
      </w:r>
      <w:r>
        <w:rPr>
          <w:rFonts w:ascii="Arial" w:hAnsi="Arial" w:cs="Arial"/>
          <w:sz w:val="22"/>
          <w:szCs w:val="22"/>
          <w:lang w:val="en-GB"/>
        </w:rPr>
        <w:t xml:space="preserve"> for funds in the region of £100 to £500.</w:t>
      </w:r>
    </w:p>
    <w:p w14:paraId="7BCAF9AC" w14:textId="77777777" w:rsidR="00BA392E" w:rsidRDefault="00BA392E" w:rsidP="00EE23E9">
      <w:pPr>
        <w:spacing w:beforeLines="60" w:before="144" w:afterLines="60" w:after="144" w:line="280" w:lineRule="atLeast"/>
        <w:rPr>
          <w:rFonts w:ascii="Arial" w:hAnsi="Arial" w:cs="Arial"/>
          <w:b/>
          <w:sz w:val="22"/>
          <w:szCs w:val="22"/>
          <w:lang w:val="en-GB"/>
        </w:rPr>
      </w:pPr>
    </w:p>
    <w:p w14:paraId="34D9388A" w14:textId="77777777" w:rsidR="00206288" w:rsidRPr="00206288" w:rsidRDefault="00792078" w:rsidP="00EE23E9">
      <w:pPr>
        <w:spacing w:beforeLines="60" w:before="144" w:afterLines="60" w:after="144" w:line="280" w:lineRule="atLeast"/>
        <w:rPr>
          <w:rFonts w:ascii="Arial" w:hAnsi="Arial" w:cs="Arial"/>
          <w:b/>
          <w:sz w:val="22"/>
          <w:szCs w:val="22"/>
          <w:lang w:val="en-GB"/>
        </w:rPr>
      </w:pPr>
      <w:r>
        <w:rPr>
          <w:rFonts w:ascii="Arial" w:hAnsi="Arial" w:cs="Arial"/>
          <w:b/>
          <w:sz w:val="22"/>
          <w:szCs w:val="22"/>
          <w:lang w:val="en-GB"/>
        </w:rPr>
        <w:t xml:space="preserve">(b) </w:t>
      </w:r>
      <w:r w:rsidR="00206288" w:rsidRPr="00206288">
        <w:rPr>
          <w:rFonts w:ascii="Arial" w:hAnsi="Arial" w:cs="Arial"/>
          <w:b/>
          <w:sz w:val="22"/>
          <w:szCs w:val="22"/>
          <w:lang w:val="en-GB"/>
        </w:rPr>
        <w:t>Enhanced equipment</w:t>
      </w:r>
    </w:p>
    <w:p w14:paraId="0C5AE61F" w14:textId="77777777" w:rsidR="00206288" w:rsidRDefault="00206288" w:rsidP="00A5754A">
      <w:pPr>
        <w:spacing w:beforeLines="40" w:before="96" w:afterLines="40" w:after="96" w:line="280" w:lineRule="atLeast"/>
        <w:rPr>
          <w:rFonts w:ascii="Arial" w:hAnsi="Arial" w:cs="Arial"/>
          <w:sz w:val="22"/>
          <w:szCs w:val="22"/>
          <w:lang w:val="en-GB"/>
        </w:rPr>
      </w:pPr>
      <w:r>
        <w:rPr>
          <w:rFonts w:ascii="Arial" w:hAnsi="Arial" w:cs="Arial"/>
          <w:sz w:val="22"/>
          <w:szCs w:val="22"/>
          <w:lang w:val="en-GB"/>
        </w:rPr>
        <w:t xml:space="preserve">These funds are awarded against bids for equipment that cannot be purchased through </w:t>
      </w:r>
      <w:r w:rsidR="00535847">
        <w:rPr>
          <w:rFonts w:ascii="Arial" w:hAnsi="Arial" w:cs="Arial"/>
          <w:sz w:val="22"/>
          <w:szCs w:val="22"/>
          <w:lang w:val="en-GB"/>
        </w:rPr>
        <w:t>a school’s</w:t>
      </w:r>
      <w:r>
        <w:rPr>
          <w:rFonts w:ascii="Arial" w:hAnsi="Arial" w:cs="Arial"/>
          <w:sz w:val="22"/>
          <w:szCs w:val="22"/>
          <w:lang w:val="en-GB"/>
        </w:rPr>
        <w:t xml:space="preserve"> mainstream teaching budget and which would enrich the learning experience of students in either primary (science) or secondary (chemistry) studies.  </w:t>
      </w:r>
      <w:proofErr w:type="gramStart"/>
      <w:r>
        <w:rPr>
          <w:rFonts w:ascii="Arial" w:hAnsi="Arial" w:cs="Arial"/>
          <w:sz w:val="22"/>
          <w:szCs w:val="22"/>
          <w:lang w:val="en-GB"/>
        </w:rPr>
        <w:t>In particular this</w:t>
      </w:r>
      <w:proofErr w:type="gramEnd"/>
      <w:r>
        <w:rPr>
          <w:rFonts w:ascii="Arial" w:hAnsi="Arial" w:cs="Arial"/>
          <w:sz w:val="22"/>
          <w:szCs w:val="22"/>
          <w:lang w:val="en-GB"/>
        </w:rPr>
        <w:t xml:space="preserve"> would be for equipment that supports </w:t>
      </w:r>
      <w:r w:rsidR="00535847">
        <w:rPr>
          <w:rFonts w:ascii="Arial" w:hAnsi="Arial" w:cs="Arial"/>
          <w:sz w:val="22"/>
          <w:szCs w:val="22"/>
          <w:lang w:val="en-GB"/>
        </w:rPr>
        <w:t xml:space="preserve">delivery of </w:t>
      </w:r>
      <w:r>
        <w:rPr>
          <w:rFonts w:ascii="Arial" w:hAnsi="Arial" w:cs="Arial"/>
          <w:sz w:val="22"/>
          <w:szCs w:val="22"/>
          <w:lang w:val="en-GB"/>
        </w:rPr>
        <w:t xml:space="preserve">the practical </w:t>
      </w:r>
      <w:r w:rsidR="00535847">
        <w:rPr>
          <w:rFonts w:ascii="Arial" w:hAnsi="Arial" w:cs="Arial"/>
          <w:sz w:val="22"/>
          <w:szCs w:val="22"/>
          <w:lang w:val="en-GB"/>
        </w:rPr>
        <w:t>aspect</w:t>
      </w:r>
      <w:r>
        <w:rPr>
          <w:rFonts w:ascii="Arial" w:hAnsi="Arial" w:cs="Arial"/>
          <w:sz w:val="22"/>
          <w:szCs w:val="22"/>
          <w:lang w:val="en-GB"/>
        </w:rPr>
        <w:t xml:space="preserve"> of chemistry education</w:t>
      </w:r>
      <w:r w:rsidR="00535847">
        <w:rPr>
          <w:rFonts w:ascii="Arial" w:hAnsi="Arial" w:cs="Arial"/>
          <w:sz w:val="22"/>
          <w:szCs w:val="22"/>
          <w:lang w:val="en-GB"/>
        </w:rPr>
        <w:t xml:space="preserve"> and an application will be enhanced by a demonstration of the diversity of application of the equipment within and between student cohorts.  The application will be made by a teacher at a primary o</w:t>
      </w:r>
      <w:r w:rsidR="00DE5BE8">
        <w:rPr>
          <w:rFonts w:ascii="Arial" w:hAnsi="Arial" w:cs="Arial"/>
          <w:sz w:val="22"/>
          <w:szCs w:val="22"/>
          <w:lang w:val="en-GB"/>
        </w:rPr>
        <w:t>r</w:t>
      </w:r>
      <w:r w:rsidR="00535847">
        <w:rPr>
          <w:rFonts w:ascii="Arial" w:hAnsi="Arial" w:cs="Arial"/>
          <w:sz w:val="22"/>
          <w:szCs w:val="22"/>
          <w:lang w:val="en-GB"/>
        </w:rPr>
        <w:t xml:space="preserve"> secondary school for sums </w:t>
      </w:r>
      <w:r w:rsidR="00DE5BE8">
        <w:rPr>
          <w:rFonts w:ascii="Arial" w:hAnsi="Arial" w:cs="Arial"/>
          <w:sz w:val="22"/>
          <w:szCs w:val="22"/>
          <w:lang w:val="en-GB"/>
        </w:rPr>
        <w:t xml:space="preserve">up to £1000 </w:t>
      </w:r>
    </w:p>
    <w:p w14:paraId="163ADA87" w14:textId="77777777" w:rsidR="00BA392E" w:rsidRDefault="00BA392E" w:rsidP="00EE23E9">
      <w:pPr>
        <w:spacing w:beforeLines="60" w:before="144" w:afterLines="60" w:after="144" w:line="280" w:lineRule="atLeast"/>
        <w:rPr>
          <w:rFonts w:ascii="Arial" w:hAnsi="Arial" w:cs="Arial"/>
          <w:b/>
          <w:sz w:val="22"/>
          <w:szCs w:val="22"/>
          <w:lang w:val="en-GB"/>
        </w:rPr>
      </w:pPr>
      <w:bookmarkStart w:id="0" w:name="OLE_LINK1"/>
      <w:bookmarkStart w:id="1" w:name="OLE_LINK2"/>
    </w:p>
    <w:p w14:paraId="6ADE2769" w14:textId="77777777" w:rsidR="00535847" w:rsidRPr="00535847" w:rsidRDefault="00792078" w:rsidP="00EE23E9">
      <w:pPr>
        <w:spacing w:beforeLines="60" w:before="144" w:afterLines="60" w:after="144" w:line="280" w:lineRule="atLeast"/>
        <w:rPr>
          <w:rFonts w:ascii="Arial" w:hAnsi="Arial" w:cs="Arial"/>
          <w:b/>
          <w:sz w:val="22"/>
          <w:szCs w:val="22"/>
          <w:lang w:val="en-GB"/>
        </w:rPr>
      </w:pPr>
      <w:r>
        <w:rPr>
          <w:rFonts w:ascii="Arial" w:hAnsi="Arial" w:cs="Arial"/>
          <w:b/>
          <w:sz w:val="22"/>
          <w:szCs w:val="22"/>
          <w:lang w:val="en-GB"/>
        </w:rPr>
        <w:t xml:space="preserve">(c) </w:t>
      </w:r>
      <w:r w:rsidR="00535847" w:rsidRPr="00535847">
        <w:rPr>
          <w:rFonts w:ascii="Arial" w:hAnsi="Arial" w:cs="Arial"/>
          <w:b/>
          <w:sz w:val="22"/>
          <w:szCs w:val="22"/>
          <w:lang w:val="en-GB"/>
        </w:rPr>
        <w:t>Chemistry Clubs</w:t>
      </w:r>
    </w:p>
    <w:bookmarkEnd w:id="0"/>
    <w:bookmarkEnd w:id="1"/>
    <w:p w14:paraId="679AD417" w14:textId="77777777" w:rsidR="001777FB" w:rsidRDefault="00535847" w:rsidP="001777FB">
      <w:pPr>
        <w:spacing w:beforeLines="40" w:before="96" w:afterLines="40" w:after="96" w:line="280" w:lineRule="atLeast"/>
        <w:rPr>
          <w:rFonts w:ascii="Arial" w:hAnsi="Arial" w:cs="Arial"/>
          <w:sz w:val="22"/>
          <w:szCs w:val="22"/>
          <w:lang w:val="en-GB"/>
        </w:rPr>
      </w:pPr>
      <w:r>
        <w:rPr>
          <w:rFonts w:ascii="Arial" w:hAnsi="Arial" w:cs="Arial"/>
          <w:sz w:val="22"/>
          <w:szCs w:val="22"/>
          <w:lang w:val="en-GB"/>
        </w:rPr>
        <w:t xml:space="preserve">The funds are targeted at activities run at schools/ colleges outside the normal science timetable which may be focussed on generating interest in chemistry in all ability levels or which may provide opportunities to stretch </w:t>
      </w:r>
      <w:r w:rsidR="00792078">
        <w:rPr>
          <w:rFonts w:ascii="Arial" w:hAnsi="Arial" w:cs="Arial"/>
          <w:sz w:val="22"/>
          <w:szCs w:val="22"/>
          <w:lang w:val="en-GB"/>
        </w:rPr>
        <w:t xml:space="preserve">and challenge the already able and motivated.  Applications from existing chemistry clubs looking to expand/ enhance activities would be welcome as would those from colleagues interested in starting a club.  An application would need to indicate how the longevity of the proposal was ensured and how best practice and experience from it might be shared within and between </w:t>
      </w:r>
      <w:r w:rsidR="008624A6">
        <w:rPr>
          <w:rFonts w:ascii="Arial" w:hAnsi="Arial" w:cs="Arial"/>
          <w:sz w:val="22"/>
          <w:szCs w:val="22"/>
          <w:lang w:val="en-GB"/>
        </w:rPr>
        <w:t>other (perhaps feeder) schools.</w:t>
      </w:r>
      <w:r w:rsidR="001777FB">
        <w:rPr>
          <w:rFonts w:ascii="Arial" w:hAnsi="Arial" w:cs="Arial"/>
          <w:sz w:val="22"/>
          <w:szCs w:val="22"/>
          <w:lang w:val="en-GB"/>
        </w:rPr>
        <w:t xml:space="preserve">  The application will be made by a teacher at a primary of secondary school for sums up to £1000.</w:t>
      </w:r>
    </w:p>
    <w:p w14:paraId="39C75464" w14:textId="77777777" w:rsidR="00535847" w:rsidRDefault="00535847" w:rsidP="00A5754A">
      <w:pPr>
        <w:spacing w:beforeLines="40" w:before="96" w:afterLines="40" w:after="96" w:line="280" w:lineRule="atLeast"/>
        <w:rPr>
          <w:rFonts w:ascii="Arial" w:hAnsi="Arial" w:cs="Arial"/>
          <w:sz w:val="22"/>
          <w:szCs w:val="22"/>
          <w:lang w:val="en-GB"/>
        </w:rPr>
      </w:pPr>
    </w:p>
    <w:p w14:paraId="2EFD5898" w14:textId="77777777" w:rsidR="00AD34DE" w:rsidRPr="00535847" w:rsidRDefault="00BA392E" w:rsidP="00AD34DE">
      <w:pPr>
        <w:spacing w:beforeLines="60" w:before="144" w:afterLines="60" w:after="144" w:line="280" w:lineRule="atLeast"/>
        <w:rPr>
          <w:rFonts w:ascii="Arial" w:hAnsi="Arial" w:cs="Arial"/>
          <w:b/>
          <w:sz w:val="22"/>
          <w:szCs w:val="22"/>
          <w:lang w:val="en-GB"/>
        </w:rPr>
      </w:pPr>
      <w:r>
        <w:rPr>
          <w:rFonts w:ascii="Arial" w:hAnsi="Arial" w:cs="Arial"/>
          <w:b/>
          <w:sz w:val="22"/>
          <w:szCs w:val="22"/>
          <w:lang w:val="en-GB"/>
        </w:rPr>
        <w:br w:type="page"/>
      </w:r>
      <w:r w:rsidR="00AD34DE">
        <w:rPr>
          <w:rFonts w:ascii="Arial" w:hAnsi="Arial" w:cs="Arial"/>
          <w:b/>
          <w:sz w:val="22"/>
          <w:szCs w:val="22"/>
          <w:lang w:val="en-GB"/>
        </w:rPr>
        <w:lastRenderedPageBreak/>
        <w:t>(d) Partnership of 3</w:t>
      </w:r>
    </w:p>
    <w:p w14:paraId="483C9802" w14:textId="77777777" w:rsidR="00950934" w:rsidRDefault="000D2F37" w:rsidP="004406A1">
      <w:pPr>
        <w:spacing w:beforeLines="40" w:before="96" w:afterLines="40" w:after="96" w:line="280" w:lineRule="atLeast"/>
        <w:rPr>
          <w:rFonts w:ascii="Arial" w:hAnsi="Arial" w:cs="Arial"/>
          <w:sz w:val="22"/>
          <w:szCs w:val="22"/>
        </w:rPr>
      </w:pPr>
      <w:r>
        <w:rPr>
          <w:rFonts w:ascii="Arial" w:hAnsi="Arial" w:cs="Arial"/>
          <w:sz w:val="22"/>
          <w:szCs w:val="22"/>
        </w:rPr>
        <w:t xml:space="preserve">Funding is available </w:t>
      </w:r>
      <w:r w:rsidR="004406A1">
        <w:rPr>
          <w:rFonts w:ascii="Arial" w:hAnsi="Arial" w:cs="Arial"/>
          <w:sz w:val="22"/>
          <w:szCs w:val="22"/>
        </w:rPr>
        <w:t>to</w:t>
      </w:r>
      <w:r>
        <w:rPr>
          <w:rFonts w:ascii="Arial" w:hAnsi="Arial" w:cs="Arial"/>
          <w:sz w:val="22"/>
          <w:szCs w:val="22"/>
        </w:rPr>
        <w:t xml:space="preserve"> schools, </w:t>
      </w:r>
      <w:proofErr w:type="gramStart"/>
      <w:r>
        <w:rPr>
          <w:rFonts w:ascii="Arial" w:hAnsi="Arial" w:cs="Arial"/>
          <w:sz w:val="22"/>
          <w:szCs w:val="22"/>
        </w:rPr>
        <w:t>colleges</w:t>
      </w:r>
      <w:proofErr w:type="gramEnd"/>
      <w:r>
        <w:rPr>
          <w:rFonts w:ascii="Arial" w:hAnsi="Arial" w:cs="Arial"/>
          <w:sz w:val="22"/>
          <w:szCs w:val="22"/>
        </w:rPr>
        <w:t xml:space="preserve"> or universities to support activities that bring together at least three different partners to benefit in the delivery or attendance at a chemistry centered outreach activity.  </w:t>
      </w:r>
      <w:r w:rsidR="004406A1">
        <w:rPr>
          <w:rFonts w:ascii="Arial" w:hAnsi="Arial" w:cs="Arial"/>
          <w:sz w:val="22"/>
          <w:szCs w:val="22"/>
        </w:rPr>
        <w:t xml:space="preserve">For </w:t>
      </w:r>
      <w:proofErr w:type="gramStart"/>
      <w:r w:rsidR="004406A1">
        <w:rPr>
          <w:rFonts w:ascii="Arial" w:hAnsi="Arial" w:cs="Arial"/>
          <w:sz w:val="22"/>
          <w:szCs w:val="22"/>
        </w:rPr>
        <w:t>example</w:t>
      </w:r>
      <w:proofErr w:type="gramEnd"/>
      <w:r w:rsidR="004406A1">
        <w:rPr>
          <w:rFonts w:ascii="Arial" w:hAnsi="Arial" w:cs="Arial"/>
          <w:sz w:val="22"/>
          <w:szCs w:val="22"/>
        </w:rPr>
        <w:t xml:space="preserve"> a scheme might involve a university and an industry providing </w:t>
      </w:r>
      <w:r w:rsidR="001777FB">
        <w:rPr>
          <w:rFonts w:ascii="Arial" w:hAnsi="Arial" w:cs="Arial"/>
          <w:sz w:val="22"/>
          <w:szCs w:val="22"/>
        </w:rPr>
        <w:t xml:space="preserve">an initiative for </w:t>
      </w:r>
      <w:r w:rsidR="004406A1">
        <w:rPr>
          <w:rFonts w:ascii="Arial" w:hAnsi="Arial" w:cs="Arial"/>
          <w:sz w:val="22"/>
          <w:szCs w:val="22"/>
        </w:rPr>
        <w:t>secondary students; it might involve a university collaborating with a sixth form college in provi</w:t>
      </w:r>
      <w:r w:rsidR="001777FB">
        <w:rPr>
          <w:rFonts w:ascii="Arial" w:hAnsi="Arial" w:cs="Arial"/>
          <w:sz w:val="22"/>
          <w:szCs w:val="22"/>
        </w:rPr>
        <w:t xml:space="preserve">ding an experience for </w:t>
      </w:r>
      <w:r w:rsidR="004406A1">
        <w:rPr>
          <w:rFonts w:ascii="Arial" w:hAnsi="Arial" w:cs="Arial"/>
          <w:sz w:val="22"/>
          <w:szCs w:val="22"/>
        </w:rPr>
        <w:t>KS3/ 4 students</w:t>
      </w:r>
      <w:r w:rsidR="00950934">
        <w:rPr>
          <w:rFonts w:ascii="Arial" w:hAnsi="Arial" w:cs="Arial"/>
          <w:sz w:val="22"/>
          <w:szCs w:val="22"/>
        </w:rPr>
        <w:t xml:space="preserve"> (it may be that staff and students from the same institution are considered as different partners if they both have significant and different roles in the delivery of the proposed programme)</w:t>
      </w:r>
      <w:r w:rsidR="004406A1">
        <w:rPr>
          <w:rFonts w:ascii="Arial" w:hAnsi="Arial" w:cs="Arial"/>
          <w:sz w:val="22"/>
          <w:szCs w:val="22"/>
        </w:rPr>
        <w:t xml:space="preserve">. </w:t>
      </w:r>
    </w:p>
    <w:p w14:paraId="57A067EE" w14:textId="77777777" w:rsidR="00206288" w:rsidRDefault="00950934" w:rsidP="004406A1">
      <w:pPr>
        <w:spacing w:beforeLines="40" w:before="96" w:afterLines="40" w:after="96" w:line="280" w:lineRule="atLeast"/>
        <w:rPr>
          <w:rFonts w:ascii="Arial" w:hAnsi="Arial" w:cs="Arial"/>
          <w:sz w:val="22"/>
          <w:szCs w:val="22"/>
        </w:rPr>
      </w:pPr>
      <w:r>
        <w:rPr>
          <w:rFonts w:ascii="Arial" w:hAnsi="Arial" w:cs="Arial"/>
          <w:sz w:val="22"/>
          <w:szCs w:val="22"/>
        </w:rPr>
        <w:t>I</w:t>
      </w:r>
      <w:r w:rsidR="004406A1">
        <w:rPr>
          <w:rFonts w:ascii="Arial" w:hAnsi="Arial" w:cs="Arial"/>
          <w:sz w:val="22"/>
          <w:szCs w:val="22"/>
        </w:rPr>
        <w:t>n all cases the activity needs to involve the development of the practical skills/ experience</w:t>
      </w:r>
      <w:r w:rsidR="001777FB">
        <w:rPr>
          <w:rFonts w:ascii="Arial" w:hAnsi="Arial" w:cs="Arial"/>
          <w:sz w:val="22"/>
          <w:szCs w:val="22"/>
        </w:rPr>
        <w:t xml:space="preserve"> in chemistry</w:t>
      </w:r>
      <w:r w:rsidR="004406A1">
        <w:rPr>
          <w:rFonts w:ascii="Arial" w:hAnsi="Arial" w:cs="Arial"/>
          <w:sz w:val="22"/>
          <w:szCs w:val="22"/>
        </w:rPr>
        <w:t xml:space="preserve"> of the target group in a manner tha</w:t>
      </w:r>
      <w:r w:rsidR="001777FB">
        <w:rPr>
          <w:rFonts w:ascii="Arial" w:hAnsi="Arial" w:cs="Arial"/>
          <w:sz w:val="22"/>
          <w:szCs w:val="22"/>
        </w:rPr>
        <w:t xml:space="preserve">t is not achievable through </w:t>
      </w:r>
      <w:r w:rsidR="004406A1">
        <w:rPr>
          <w:rFonts w:ascii="Arial" w:hAnsi="Arial" w:cs="Arial"/>
          <w:sz w:val="22"/>
          <w:szCs w:val="22"/>
        </w:rPr>
        <w:t>normal timetabled activities.  Strong applications will be able to demonstrate, in addition to key scientific benefits, how as many of the partners in the scheme as possible will develop through involvement in the scheme.  In addition, schemes that involve</w:t>
      </w:r>
      <w:r w:rsidR="001777FB">
        <w:rPr>
          <w:rFonts w:ascii="Arial" w:hAnsi="Arial" w:cs="Arial"/>
          <w:sz w:val="22"/>
          <w:szCs w:val="22"/>
        </w:rPr>
        <w:t xml:space="preserve"> visits from one partner constituency to another will be particularly favoured.  Applications will only be accepted from a partner involved in educational delivery and will be for sums up to £1000.</w:t>
      </w:r>
    </w:p>
    <w:p w14:paraId="3FC0022F" w14:textId="77777777" w:rsidR="00BA392E" w:rsidRDefault="00BA392E" w:rsidP="00950934">
      <w:pPr>
        <w:spacing w:beforeLines="60" w:before="144" w:afterLines="60" w:after="144" w:line="280" w:lineRule="atLeast"/>
        <w:rPr>
          <w:rFonts w:ascii="Arial" w:hAnsi="Arial" w:cs="Arial"/>
          <w:b/>
          <w:sz w:val="22"/>
          <w:szCs w:val="22"/>
          <w:lang w:val="en-GB"/>
        </w:rPr>
      </w:pPr>
    </w:p>
    <w:p w14:paraId="44208E0E" w14:textId="77777777" w:rsidR="001777FB" w:rsidRPr="00535847" w:rsidRDefault="001777FB" w:rsidP="00950934">
      <w:pPr>
        <w:spacing w:beforeLines="60" w:before="144" w:afterLines="60" w:after="144" w:line="280" w:lineRule="atLeast"/>
        <w:rPr>
          <w:rFonts w:ascii="Arial" w:hAnsi="Arial" w:cs="Arial"/>
          <w:b/>
          <w:sz w:val="22"/>
          <w:szCs w:val="22"/>
          <w:lang w:val="en-GB"/>
        </w:rPr>
      </w:pPr>
      <w:r>
        <w:rPr>
          <w:rFonts w:ascii="Arial" w:hAnsi="Arial" w:cs="Arial"/>
          <w:b/>
          <w:sz w:val="22"/>
          <w:szCs w:val="22"/>
          <w:lang w:val="en-GB"/>
        </w:rPr>
        <w:t>(</w:t>
      </w:r>
      <w:r w:rsidR="00950934">
        <w:rPr>
          <w:rFonts w:ascii="Arial" w:hAnsi="Arial" w:cs="Arial"/>
          <w:b/>
          <w:sz w:val="22"/>
          <w:szCs w:val="22"/>
          <w:lang w:val="en-GB"/>
        </w:rPr>
        <w:t>e</w:t>
      </w:r>
      <w:r>
        <w:rPr>
          <w:rFonts w:ascii="Arial" w:hAnsi="Arial" w:cs="Arial"/>
          <w:b/>
          <w:sz w:val="22"/>
          <w:szCs w:val="22"/>
          <w:lang w:val="en-GB"/>
        </w:rPr>
        <w:t xml:space="preserve">) </w:t>
      </w:r>
      <w:proofErr w:type="spellStart"/>
      <w:r w:rsidR="00950934">
        <w:rPr>
          <w:rFonts w:ascii="Arial" w:hAnsi="Arial" w:cs="Arial"/>
          <w:b/>
          <w:sz w:val="22"/>
          <w:szCs w:val="22"/>
          <w:lang w:val="en-GB"/>
        </w:rPr>
        <w:t>ChemSoc</w:t>
      </w:r>
      <w:proofErr w:type="spellEnd"/>
    </w:p>
    <w:p w14:paraId="2FF685C7" w14:textId="77777777" w:rsidR="001777FB" w:rsidRDefault="001777FB" w:rsidP="005F3C4D">
      <w:pPr>
        <w:spacing w:beforeLines="40" w:before="96" w:afterLines="40" w:after="96" w:line="280" w:lineRule="atLeast"/>
        <w:rPr>
          <w:rFonts w:ascii="Arial" w:hAnsi="Arial" w:cs="Arial"/>
          <w:sz w:val="22"/>
          <w:szCs w:val="22"/>
        </w:rPr>
      </w:pPr>
      <w:r>
        <w:rPr>
          <w:rFonts w:ascii="Arial" w:hAnsi="Arial" w:cs="Arial"/>
          <w:sz w:val="22"/>
          <w:szCs w:val="22"/>
        </w:rPr>
        <w:t xml:space="preserve">BMCS will consider </w:t>
      </w:r>
      <w:r w:rsidR="00950934">
        <w:rPr>
          <w:rFonts w:ascii="Arial" w:hAnsi="Arial" w:cs="Arial"/>
          <w:sz w:val="22"/>
          <w:szCs w:val="22"/>
        </w:rPr>
        <w:t xml:space="preserve">providing support to student chemical societies who arrange events that promote an increased awareness of biological and medicinal chemistry in the student community.  This might include the </w:t>
      </w:r>
      <w:r w:rsidR="005F3C4D">
        <w:rPr>
          <w:rFonts w:ascii="Arial" w:hAnsi="Arial" w:cs="Arial"/>
          <w:sz w:val="22"/>
          <w:szCs w:val="22"/>
        </w:rPr>
        <w:t xml:space="preserve">arrangements associated with funding the visit of </w:t>
      </w:r>
      <w:r w:rsidR="00950934">
        <w:rPr>
          <w:rFonts w:ascii="Arial" w:hAnsi="Arial" w:cs="Arial"/>
          <w:sz w:val="22"/>
          <w:szCs w:val="22"/>
        </w:rPr>
        <w:t xml:space="preserve">an industrialist to deliver a seminar to a student cohort or a visit to a company active in an area of </w:t>
      </w:r>
      <w:r w:rsidR="005F3C4D">
        <w:rPr>
          <w:rFonts w:ascii="Arial" w:hAnsi="Arial" w:cs="Arial"/>
          <w:sz w:val="22"/>
          <w:szCs w:val="22"/>
        </w:rPr>
        <w:t>relevant of the chemical industry (for example the pharmaceutical and biotech industries).  While funding will be provided in advance to an approved application it will be provided on the condition that a full report of the event is submitted to the BMCS.  Failure to do so will result in rejection of any subsequent funding applications.  Bids are invited for sums up to £250.</w:t>
      </w:r>
    </w:p>
    <w:p w14:paraId="1F770334" w14:textId="77777777" w:rsidR="001777FB" w:rsidRDefault="001777FB" w:rsidP="004406A1">
      <w:pPr>
        <w:spacing w:beforeLines="40" w:before="96" w:afterLines="40" w:after="96" w:line="280" w:lineRule="atLeast"/>
        <w:rPr>
          <w:rFonts w:ascii="Arial" w:hAnsi="Arial" w:cs="Arial"/>
          <w:sz w:val="22"/>
          <w:szCs w:val="22"/>
        </w:rPr>
      </w:pPr>
    </w:p>
    <w:sectPr w:rsidR="001777FB" w:rsidSect="00EE23E9">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241E6"/>
    <w:multiLevelType w:val="hybridMultilevel"/>
    <w:tmpl w:val="E25A50B0"/>
    <w:lvl w:ilvl="0" w:tplc="DAEE6C58">
      <w:start w:val="1"/>
      <w:numFmt w:val="bullet"/>
      <w:lvlText w:val="•"/>
      <w:lvlJc w:val="left"/>
      <w:pPr>
        <w:tabs>
          <w:tab w:val="num" w:pos="720"/>
        </w:tabs>
        <w:ind w:left="720" w:hanging="360"/>
      </w:pPr>
      <w:rPr>
        <w:rFonts w:ascii="Times New Roman" w:hAnsi="Times New Roman" w:hint="default"/>
      </w:rPr>
    </w:lvl>
    <w:lvl w:ilvl="1" w:tplc="F6D28E52" w:tentative="1">
      <w:start w:val="1"/>
      <w:numFmt w:val="bullet"/>
      <w:lvlText w:val="•"/>
      <w:lvlJc w:val="left"/>
      <w:pPr>
        <w:tabs>
          <w:tab w:val="num" w:pos="1440"/>
        </w:tabs>
        <w:ind w:left="1440" w:hanging="360"/>
      </w:pPr>
      <w:rPr>
        <w:rFonts w:ascii="Times New Roman" w:hAnsi="Times New Roman" w:hint="default"/>
      </w:rPr>
    </w:lvl>
    <w:lvl w:ilvl="2" w:tplc="69B8538E" w:tentative="1">
      <w:start w:val="1"/>
      <w:numFmt w:val="bullet"/>
      <w:lvlText w:val="•"/>
      <w:lvlJc w:val="left"/>
      <w:pPr>
        <w:tabs>
          <w:tab w:val="num" w:pos="2160"/>
        </w:tabs>
        <w:ind w:left="2160" w:hanging="360"/>
      </w:pPr>
      <w:rPr>
        <w:rFonts w:ascii="Times New Roman" w:hAnsi="Times New Roman" w:hint="default"/>
      </w:rPr>
    </w:lvl>
    <w:lvl w:ilvl="3" w:tplc="E9843462" w:tentative="1">
      <w:start w:val="1"/>
      <w:numFmt w:val="bullet"/>
      <w:lvlText w:val="•"/>
      <w:lvlJc w:val="left"/>
      <w:pPr>
        <w:tabs>
          <w:tab w:val="num" w:pos="2880"/>
        </w:tabs>
        <w:ind w:left="2880" w:hanging="360"/>
      </w:pPr>
      <w:rPr>
        <w:rFonts w:ascii="Times New Roman" w:hAnsi="Times New Roman" w:hint="default"/>
      </w:rPr>
    </w:lvl>
    <w:lvl w:ilvl="4" w:tplc="F5CC3EAA" w:tentative="1">
      <w:start w:val="1"/>
      <w:numFmt w:val="bullet"/>
      <w:lvlText w:val="•"/>
      <w:lvlJc w:val="left"/>
      <w:pPr>
        <w:tabs>
          <w:tab w:val="num" w:pos="3600"/>
        </w:tabs>
        <w:ind w:left="3600" w:hanging="360"/>
      </w:pPr>
      <w:rPr>
        <w:rFonts w:ascii="Times New Roman" w:hAnsi="Times New Roman" w:hint="default"/>
      </w:rPr>
    </w:lvl>
    <w:lvl w:ilvl="5" w:tplc="589E1C2A" w:tentative="1">
      <w:start w:val="1"/>
      <w:numFmt w:val="bullet"/>
      <w:lvlText w:val="•"/>
      <w:lvlJc w:val="left"/>
      <w:pPr>
        <w:tabs>
          <w:tab w:val="num" w:pos="4320"/>
        </w:tabs>
        <w:ind w:left="4320" w:hanging="360"/>
      </w:pPr>
      <w:rPr>
        <w:rFonts w:ascii="Times New Roman" w:hAnsi="Times New Roman" w:hint="default"/>
      </w:rPr>
    </w:lvl>
    <w:lvl w:ilvl="6" w:tplc="E370E5A4" w:tentative="1">
      <w:start w:val="1"/>
      <w:numFmt w:val="bullet"/>
      <w:lvlText w:val="•"/>
      <w:lvlJc w:val="left"/>
      <w:pPr>
        <w:tabs>
          <w:tab w:val="num" w:pos="5040"/>
        </w:tabs>
        <w:ind w:left="5040" w:hanging="360"/>
      </w:pPr>
      <w:rPr>
        <w:rFonts w:ascii="Times New Roman" w:hAnsi="Times New Roman" w:hint="default"/>
      </w:rPr>
    </w:lvl>
    <w:lvl w:ilvl="7" w:tplc="47F02C10" w:tentative="1">
      <w:start w:val="1"/>
      <w:numFmt w:val="bullet"/>
      <w:lvlText w:val="•"/>
      <w:lvlJc w:val="left"/>
      <w:pPr>
        <w:tabs>
          <w:tab w:val="num" w:pos="5760"/>
        </w:tabs>
        <w:ind w:left="5760" w:hanging="360"/>
      </w:pPr>
      <w:rPr>
        <w:rFonts w:ascii="Times New Roman" w:hAnsi="Times New Roman" w:hint="default"/>
      </w:rPr>
    </w:lvl>
    <w:lvl w:ilvl="8" w:tplc="EAD2030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EA7"/>
    <w:rsid w:val="00026BC8"/>
    <w:rsid w:val="000270C1"/>
    <w:rsid w:val="000D2F37"/>
    <w:rsid w:val="00157111"/>
    <w:rsid w:val="001777FB"/>
    <w:rsid w:val="00206288"/>
    <w:rsid w:val="002A3A58"/>
    <w:rsid w:val="002E41AE"/>
    <w:rsid w:val="0035314C"/>
    <w:rsid w:val="003A0648"/>
    <w:rsid w:val="003E5144"/>
    <w:rsid w:val="003F1A14"/>
    <w:rsid w:val="004406A1"/>
    <w:rsid w:val="004C5EA7"/>
    <w:rsid w:val="00535847"/>
    <w:rsid w:val="005A7F87"/>
    <w:rsid w:val="005F3C4D"/>
    <w:rsid w:val="0064795F"/>
    <w:rsid w:val="00792078"/>
    <w:rsid w:val="007B4894"/>
    <w:rsid w:val="008624A6"/>
    <w:rsid w:val="008F5427"/>
    <w:rsid w:val="00950934"/>
    <w:rsid w:val="00A5754A"/>
    <w:rsid w:val="00A671AD"/>
    <w:rsid w:val="00A740A1"/>
    <w:rsid w:val="00A839EF"/>
    <w:rsid w:val="00AD34DE"/>
    <w:rsid w:val="00B46AE3"/>
    <w:rsid w:val="00B46F7D"/>
    <w:rsid w:val="00BA392E"/>
    <w:rsid w:val="00C44E8A"/>
    <w:rsid w:val="00D205D5"/>
    <w:rsid w:val="00D53835"/>
    <w:rsid w:val="00D675B8"/>
    <w:rsid w:val="00DE5BE8"/>
    <w:rsid w:val="00EE23E9"/>
    <w:rsid w:val="00F430B5"/>
    <w:rsid w:val="00F82A8D"/>
    <w:rsid w:val="00FA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6E1DB1"/>
  <w15:chartTrackingRefBased/>
  <w15:docId w15:val="{E638F08F-EA98-49F3-A9A5-0CD603BF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835"/>
    <w:pPr>
      <w:autoSpaceDE w:val="0"/>
      <w:autoSpaceDN w:val="0"/>
      <w:adjustRightInd w:val="0"/>
    </w:pPr>
    <w:rPr>
      <w:rFonts w:ascii="Lucida Sans Unicode" w:hAnsi="Lucida Sans Unicode" w:cs="Lucida Sans Unicode"/>
      <w:color w:val="000000"/>
      <w:sz w:val="24"/>
      <w:szCs w:val="24"/>
      <w:lang w:val="en-US" w:eastAsia="en-US"/>
    </w:rPr>
  </w:style>
  <w:style w:type="character" w:styleId="Hyperlink">
    <w:name w:val="Hyperlink"/>
    <w:rsid w:val="00B46F7D"/>
    <w:rPr>
      <w:color w:val="0000FF"/>
      <w:u w:val="single"/>
    </w:rPr>
  </w:style>
  <w:style w:type="character" w:styleId="FollowedHyperlink">
    <w:name w:val="FollowedHyperlink"/>
    <w:rsid w:val="00206288"/>
    <w:rPr>
      <w:color w:val="800080"/>
      <w:u w:val="single"/>
    </w:rPr>
  </w:style>
  <w:style w:type="paragraph" w:styleId="BalloonText">
    <w:name w:val="Balloon Text"/>
    <w:basedOn w:val="Normal"/>
    <w:link w:val="BalloonTextChar"/>
    <w:rsid w:val="00DE5BE8"/>
    <w:rPr>
      <w:rFonts w:ascii="Tahoma" w:hAnsi="Tahoma" w:cs="Tahoma"/>
      <w:sz w:val="16"/>
      <w:szCs w:val="16"/>
    </w:rPr>
  </w:style>
  <w:style w:type="character" w:customStyle="1" w:styleId="BalloonTextChar">
    <w:name w:val="Balloon Text Char"/>
    <w:link w:val="BalloonText"/>
    <w:rsid w:val="00DE5BE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03655">
      <w:bodyDiv w:val="1"/>
      <w:marLeft w:val="150"/>
      <w:marRight w:val="0"/>
      <w:marTop w:val="120"/>
      <w:marBottom w:val="0"/>
      <w:divBdr>
        <w:top w:val="none" w:sz="0" w:space="0" w:color="auto"/>
        <w:left w:val="none" w:sz="0" w:space="0" w:color="auto"/>
        <w:bottom w:val="none" w:sz="0" w:space="0" w:color="auto"/>
        <w:right w:val="none" w:sz="0" w:space="0" w:color="auto"/>
      </w:divBdr>
      <w:divsChild>
        <w:div w:id="315456288">
          <w:marLeft w:val="0"/>
          <w:marRight w:val="0"/>
          <w:marTop w:val="15"/>
          <w:marBottom w:val="120"/>
          <w:divBdr>
            <w:top w:val="none" w:sz="0" w:space="0" w:color="auto"/>
            <w:left w:val="none" w:sz="0" w:space="0" w:color="auto"/>
            <w:bottom w:val="none" w:sz="0" w:space="0" w:color="auto"/>
            <w:right w:val="none" w:sz="0" w:space="0" w:color="auto"/>
          </w:divBdr>
          <w:divsChild>
            <w:div w:id="1295940921">
              <w:marLeft w:val="0"/>
              <w:marRight w:val="0"/>
              <w:marTop w:val="0"/>
              <w:marBottom w:val="0"/>
              <w:divBdr>
                <w:top w:val="none" w:sz="0" w:space="0" w:color="auto"/>
                <w:left w:val="none" w:sz="0" w:space="0" w:color="auto"/>
                <w:bottom w:val="none" w:sz="0" w:space="0" w:color="auto"/>
                <w:right w:val="none" w:sz="0" w:space="0" w:color="auto"/>
              </w:divBdr>
              <w:divsChild>
                <w:div w:id="513106436">
                  <w:marLeft w:val="0"/>
                  <w:marRight w:val="0"/>
                  <w:marTop w:val="0"/>
                  <w:marBottom w:val="0"/>
                  <w:divBdr>
                    <w:top w:val="none" w:sz="0" w:space="0" w:color="auto"/>
                    <w:left w:val="none" w:sz="0" w:space="0" w:color="auto"/>
                    <w:bottom w:val="none" w:sz="0" w:space="0" w:color="auto"/>
                    <w:right w:val="none" w:sz="0" w:space="0" w:color="auto"/>
                  </w:divBdr>
                  <w:divsChild>
                    <w:div w:id="10479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228">
      <w:bodyDiv w:val="1"/>
      <w:marLeft w:val="150"/>
      <w:marRight w:val="0"/>
      <w:marTop w:val="120"/>
      <w:marBottom w:val="0"/>
      <w:divBdr>
        <w:top w:val="none" w:sz="0" w:space="0" w:color="auto"/>
        <w:left w:val="none" w:sz="0" w:space="0" w:color="auto"/>
        <w:bottom w:val="none" w:sz="0" w:space="0" w:color="auto"/>
        <w:right w:val="none" w:sz="0" w:space="0" w:color="auto"/>
      </w:divBdr>
      <w:divsChild>
        <w:div w:id="2062365620">
          <w:marLeft w:val="0"/>
          <w:marRight w:val="0"/>
          <w:marTop w:val="15"/>
          <w:marBottom w:val="120"/>
          <w:divBdr>
            <w:top w:val="none" w:sz="0" w:space="0" w:color="auto"/>
            <w:left w:val="none" w:sz="0" w:space="0" w:color="auto"/>
            <w:bottom w:val="none" w:sz="0" w:space="0" w:color="auto"/>
            <w:right w:val="none" w:sz="0" w:space="0" w:color="auto"/>
          </w:divBdr>
          <w:divsChild>
            <w:div w:id="1414620907">
              <w:marLeft w:val="0"/>
              <w:marRight w:val="0"/>
              <w:marTop w:val="0"/>
              <w:marBottom w:val="0"/>
              <w:divBdr>
                <w:top w:val="none" w:sz="0" w:space="0" w:color="auto"/>
                <w:left w:val="none" w:sz="0" w:space="0" w:color="auto"/>
                <w:bottom w:val="none" w:sz="0" w:space="0" w:color="auto"/>
                <w:right w:val="none" w:sz="0" w:space="0" w:color="auto"/>
              </w:divBdr>
              <w:divsChild>
                <w:div w:id="254020868">
                  <w:marLeft w:val="0"/>
                  <w:marRight w:val="0"/>
                  <w:marTop w:val="0"/>
                  <w:marBottom w:val="0"/>
                  <w:divBdr>
                    <w:top w:val="none" w:sz="0" w:space="0" w:color="auto"/>
                    <w:left w:val="none" w:sz="0" w:space="0" w:color="auto"/>
                    <w:bottom w:val="none" w:sz="0" w:space="0" w:color="auto"/>
                    <w:right w:val="none" w:sz="0" w:space="0" w:color="auto"/>
                  </w:divBdr>
                  <w:divsChild>
                    <w:div w:id="14414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39606">
      <w:bodyDiv w:val="1"/>
      <w:marLeft w:val="0"/>
      <w:marRight w:val="0"/>
      <w:marTop w:val="0"/>
      <w:marBottom w:val="0"/>
      <w:divBdr>
        <w:top w:val="none" w:sz="0" w:space="0" w:color="auto"/>
        <w:left w:val="none" w:sz="0" w:space="0" w:color="auto"/>
        <w:bottom w:val="none" w:sz="0" w:space="0" w:color="auto"/>
        <w:right w:val="none" w:sz="0" w:space="0" w:color="auto"/>
      </w:divBdr>
      <w:divsChild>
        <w:div w:id="459227503">
          <w:marLeft w:val="0"/>
          <w:marRight w:val="0"/>
          <w:marTop w:val="0"/>
          <w:marBottom w:val="0"/>
          <w:divBdr>
            <w:top w:val="none" w:sz="0" w:space="0" w:color="auto"/>
            <w:left w:val="none" w:sz="0" w:space="0" w:color="auto"/>
            <w:bottom w:val="none" w:sz="0" w:space="0" w:color="auto"/>
            <w:right w:val="none" w:sz="0" w:space="0" w:color="auto"/>
          </w:divBdr>
          <w:divsChild>
            <w:div w:id="346441249">
              <w:marLeft w:val="0"/>
              <w:marRight w:val="0"/>
              <w:marTop w:val="0"/>
              <w:marBottom w:val="0"/>
              <w:divBdr>
                <w:top w:val="none" w:sz="0" w:space="0" w:color="auto"/>
                <w:left w:val="none" w:sz="0" w:space="0" w:color="auto"/>
                <w:bottom w:val="none" w:sz="0" w:space="0" w:color="auto"/>
                <w:right w:val="none" w:sz="0" w:space="0" w:color="auto"/>
              </w:divBdr>
            </w:div>
            <w:div w:id="836573221">
              <w:marLeft w:val="0"/>
              <w:marRight w:val="0"/>
              <w:marTop w:val="0"/>
              <w:marBottom w:val="0"/>
              <w:divBdr>
                <w:top w:val="none" w:sz="0" w:space="0" w:color="auto"/>
                <w:left w:val="none" w:sz="0" w:space="0" w:color="auto"/>
                <w:bottom w:val="none" w:sz="0" w:space="0" w:color="auto"/>
                <w:right w:val="none" w:sz="0" w:space="0" w:color="auto"/>
              </w:divBdr>
            </w:div>
            <w:div w:id="1043945180">
              <w:marLeft w:val="0"/>
              <w:marRight w:val="0"/>
              <w:marTop w:val="0"/>
              <w:marBottom w:val="0"/>
              <w:divBdr>
                <w:top w:val="none" w:sz="0" w:space="0" w:color="auto"/>
                <w:left w:val="none" w:sz="0" w:space="0" w:color="auto"/>
                <w:bottom w:val="none" w:sz="0" w:space="0" w:color="auto"/>
                <w:right w:val="none" w:sz="0" w:space="0" w:color="auto"/>
              </w:divBdr>
            </w:div>
            <w:div w:id="1264220596">
              <w:marLeft w:val="0"/>
              <w:marRight w:val="0"/>
              <w:marTop w:val="0"/>
              <w:marBottom w:val="0"/>
              <w:divBdr>
                <w:top w:val="none" w:sz="0" w:space="0" w:color="auto"/>
                <w:left w:val="none" w:sz="0" w:space="0" w:color="auto"/>
                <w:bottom w:val="none" w:sz="0" w:space="0" w:color="auto"/>
                <w:right w:val="none" w:sz="0" w:space="0" w:color="auto"/>
              </w:divBdr>
            </w:div>
            <w:div w:id="1288976623">
              <w:marLeft w:val="0"/>
              <w:marRight w:val="0"/>
              <w:marTop w:val="0"/>
              <w:marBottom w:val="0"/>
              <w:divBdr>
                <w:top w:val="none" w:sz="0" w:space="0" w:color="auto"/>
                <w:left w:val="none" w:sz="0" w:space="0" w:color="auto"/>
                <w:bottom w:val="none" w:sz="0" w:space="0" w:color="auto"/>
                <w:right w:val="none" w:sz="0" w:space="0" w:color="auto"/>
              </w:divBdr>
            </w:div>
            <w:div w:id="20983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c.org/Membership/Networking/LocalSections/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c.org/Membership/Networking/InterestGroups/BMCS/Activities/ESG.as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Education awards supported by the Biological and Medicinal Chemistry Sector of the Royal Society of Chemistry</vt:lpstr>
    </vt:vector>
  </TitlesOfParts>
  <Company>University of Southampton</Company>
  <LinksUpToDate>false</LinksUpToDate>
  <CharactersWithSpaces>6000</CharactersWithSpaces>
  <SharedDoc>false</SharedDoc>
  <HLinks>
    <vt:vector size="12" baseType="variant">
      <vt:variant>
        <vt:i4>393218</vt:i4>
      </vt:variant>
      <vt:variant>
        <vt:i4>3</vt:i4>
      </vt:variant>
      <vt:variant>
        <vt:i4>0</vt:i4>
      </vt:variant>
      <vt:variant>
        <vt:i4>5</vt:i4>
      </vt:variant>
      <vt:variant>
        <vt:lpwstr>http://www.rsc.org/Membership/Networking/LocalSections/index.asp</vt:lpwstr>
      </vt:variant>
      <vt:variant>
        <vt:lpwstr/>
      </vt:variant>
      <vt:variant>
        <vt:i4>2752568</vt:i4>
      </vt:variant>
      <vt:variant>
        <vt:i4>0</vt:i4>
      </vt:variant>
      <vt:variant>
        <vt:i4>0</vt:i4>
      </vt:variant>
      <vt:variant>
        <vt:i4>5</vt:i4>
      </vt:variant>
      <vt:variant>
        <vt:lpwstr>http://www.rsc.org/Membership/Networking/InterestGroups/BMCS/Activities/ESG.asp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awards supported by the Biological and Medicinal Chemistry Sector of the Royal Society of Chemistry</dc:title>
  <dc:subject/>
  <dc:creator>Hinks</dc:creator>
  <cp:keywords/>
  <cp:lastModifiedBy>Douglas Williamson</cp:lastModifiedBy>
  <cp:revision>3</cp:revision>
  <cp:lastPrinted>2010-09-02T22:05:00Z</cp:lastPrinted>
  <dcterms:created xsi:type="dcterms:W3CDTF">2021-01-11T09:53:00Z</dcterms:created>
  <dcterms:modified xsi:type="dcterms:W3CDTF">2021-01-11T09:53:00Z</dcterms:modified>
</cp:coreProperties>
</file>